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11"/>
        <w:gridCol w:w="920"/>
        <w:gridCol w:w="1230"/>
        <w:gridCol w:w="1120"/>
        <w:gridCol w:w="258"/>
        <w:gridCol w:w="295"/>
        <w:gridCol w:w="433"/>
        <w:gridCol w:w="2307"/>
        <w:gridCol w:w="520"/>
        <w:gridCol w:w="696"/>
        <w:gridCol w:w="16"/>
      </w:tblGrid>
      <w:tr w:rsidR="00E3414B" w:rsidRPr="00E3414B" w:rsidTr="00E3414B">
        <w:trPr>
          <w:trHeight w:val="300"/>
        </w:trPr>
        <w:tc>
          <w:tcPr>
            <w:tcW w:w="4994" w:type="pct"/>
            <w:gridSpan w:val="10"/>
            <w:shd w:val="clear" w:color="auto" w:fill="FFFFFF"/>
            <w:vAlign w:val="center"/>
            <w:hideMark/>
          </w:tcPr>
          <w:p w:rsidR="00E3414B" w:rsidRPr="00E3414B" w:rsidRDefault="00E3414B" w:rsidP="00E3414B">
            <w:pPr>
              <w:adjustRightInd/>
              <w:snapToGrid/>
              <w:spacing w:after="0"/>
              <w:jc w:val="center"/>
              <w:rPr>
                <w:rFonts w:ascii="宋体" w:eastAsia="宋体" w:hAnsi="宋体" w:cs="宋体"/>
                <w:b/>
                <w:bCs/>
                <w:color w:val="000000"/>
                <w:sz w:val="24"/>
                <w:szCs w:val="24"/>
              </w:rPr>
            </w:pPr>
            <w:r w:rsidRPr="00E3414B">
              <w:rPr>
                <w:rFonts w:ascii="宋体" w:eastAsia="宋体" w:hAnsi="宋体" w:cs="宋体" w:hint="eastAsia"/>
                <w:b/>
                <w:bCs/>
                <w:color w:val="000000"/>
                <w:sz w:val="24"/>
                <w:szCs w:val="24"/>
              </w:rPr>
              <w:t>资源与环境专业学位研究生培养方案（外招生）</w:t>
            </w: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4994" w:type="pct"/>
            <w:gridSpan w:val="10"/>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rPr>
            </w:pPr>
            <w:r w:rsidRPr="00E3414B">
              <w:rPr>
                <w:rFonts w:ascii="宋体" w:eastAsia="宋体" w:hAnsi="宋体" w:cs="宋体" w:hint="eastAsia"/>
                <w:color w:val="000000"/>
              </w:rPr>
              <w:t>(专业代码：085700)</w:t>
            </w: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501"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747"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81"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62"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84"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267"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395"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319"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425"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4994" w:type="pct"/>
            <w:gridSpan w:val="10"/>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r w:rsidRPr="00E3414B">
              <w:rPr>
                <w:rFonts w:ascii="宋体" w:eastAsia="宋体" w:hAnsi="宋体" w:cs="宋体" w:hint="eastAsia"/>
                <w:color w:val="000000"/>
                <w:sz w:val="18"/>
                <w:szCs w:val="18"/>
              </w:rPr>
              <w:t>一、培养目标</w:t>
            </w: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4994" w:type="pct"/>
            <w:gridSpan w:val="10"/>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r w:rsidRPr="00E3414B">
              <w:rPr>
                <w:rFonts w:ascii="宋体" w:eastAsia="宋体" w:hAnsi="宋体" w:cs="宋体" w:hint="eastAsia"/>
                <w:color w:val="000000"/>
                <w:sz w:val="18"/>
                <w:szCs w:val="18"/>
              </w:rPr>
              <w:t xml:space="preserve">（一）主要面向政府环保部门及其他各行业企事业单位的相关部门，培养基础扎实、素质全面、工程实践能力强并具有一定创新能力的应用型、复合型高层次工程技术和工程管理人才。 </w:t>
            </w:r>
            <w:r w:rsidRPr="00E3414B">
              <w:rPr>
                <w:rFonts w:ascii="宋体" w:eastAsia="宋体" w:hAnsi="宋体" w:cs="宋体" w:hint="eastAsia"/>
                <w:color w:val="000000"/>
                <w:sz w:val="18"/>
                <w:szCs w:val="18"/>
              </w:rPr>
              <w:br/>
              <w:t xml:space="preserve">（二）在港、澳、台地区招收的专业学位研究生，应热爱祖国和中华文化，遵纪守法，品行端正，自觉拥护祖国统一、拥护“一国两制”、为港澳长期繁荣稳定和实现祖国和平统一做贡献的坚定爱国者。 </w:t>
            </w:r>
            <w:r w:rsidRPr="00E3414B">
              <w:rPr>
                <w:rFonts w:ascii="宋体" w:eastAsia="宋体" w:hAnsi="宋体" w:cs="宋体" w:hint="eastAsia"/>
                <w:color w:val="000000"/>
                <w:sz w:val="18"/>
                <w:szCs w:val="18"/>
              </w:rPr>
              <w:br/>
              <w:t xml:space="preserve">在海外招收的华侨华人和外国籍专业学位研究生，应热爱中华文化，对中国友好，主动担当中外交流的文化使者，遵纪守法，品行端正，愿为社会发展作出贡献。 </w:t>
            </w:r>
            <w:r w:rsidRPr="00E3414B">
              <w:rPr>
                <w:rFonts w:ascii="宋体" w:eastAsia="宋体" w:hAnsi="宋体" w:cs="宋体" w:hint="eastAsia"/>
                <w:color w:val="000000"/>
                <w:sz w:val="18"/>
                <w:szCs w:val="18"/>
              </w:rPr>
              <w:br/>
              <w:t xml:space="preserve">（三）要掌握本领域坚实的基础知识和系统的专门知识，具有承担工程技术或工程管理工作的能力，了解本领域的技术现状和发展趋势，能够运用科学的方法和先进技术手段解决复杂的资源与环境工程问题。 </w:t>
            </w:r>
            <w:r w:rsidRPr="00E3414B">
              <w:rPr>
                <w:rFonts w:ascii="宋体" w:eastAsia="宋体" w:hAnsi="宋体" w:cs="宋体" w:hint="eastAsia"/>
                <w:color w:val="000000"/>
                <w:sz w:val="18"/>
                <w:szCs w:val="18"/>
              </w:rPr>
              <w:br/>
              <w:t>（四）身心健康。</w:t>
            </w: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501"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747"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81"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62"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84"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267"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395"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319"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425"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4994" w:type="pct"/>
            <w:gridSpan w:val="10"/>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r w:rsidRPr="00E3414B">
              <w:rPr>
                <w:rFonts w:ascii="宋体" w:eastAsia="宋体" w:hAnsi="宋体" w:cs="宋体" w:hint="eastAsia"/>
                <w:color w:val="000000"/>
                <w:sz w:val="18"/>
                <w:szCs w:val="18"/>
              </w:rPr>
              <w:t>二、学制及学习年限</w:t>
            </w: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4994" w:type="pct"/>
            <w:gridSpan w:val="10"/>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r w:rsidRPr="00E3414B">
              <w:rPr>
                <w:rFonts w:ascii="宋体" w:eastAsia="宋体" w:hAnsi="宋体" w:cs="宋体" w:hint="eastAsia"/>
                <w:color w:val="000000"/>
                <w:sz w:val="18"/>
                <w:szCs w:val="18"/>
              </w:rPr>
              <w:t>资源与环境专业全日制工程硕士专业学位研究生采取全日制培养方式，学制3年，在学年限最长不得超过5年。不能按期完成培养计划者，由硕士生和导师提前3个月提出延期申请，具体参照《暨南大学研究生学籍管理办法》。</w:t>
            </w: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501"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747"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81"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62"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84"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267"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395"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319"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425"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4994" w:type="pct"/>
            <w:gridSpan w:val="10"/>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r w:rsidRPr="00E3414B">
              <w:rPr>
                <w:rFonts w:ascii="宋体" w:eastAsia="宋体" w:hAnsi="宋体" w:cs="宋体" w:hint="eastAsia"/>
                <w:color w:val="000000"/>
                <w:sz w:val="18"/>
                <w:szCs w:val="18"/>
              </w:rPr>
              <w:t>三、课程设置及学分要求</w:t>
            </w: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4569" w:type="pct"/>
            <w:gridSpan w:val="9"/>
            <w:tcBorders>
              <w:bottom w:val="single" w:sz="8" w:space="0" w:color="000000"/>
            </w:tcBorders>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r w:rsidRPr="00E3414B">
              <w:rPr>
                <w:rFonts w:ascii="宋体" w:eastAsia="宋体" w:hAnsi="宋体" w:cs="宋体" w:hint="eastAsia"/>
                <w:color w:val="000000"/>
                <w:sz w:val="18"/>
                <w:szCs w:val="18"/>
              </w:rPr>
              <w:t>最低总学分是32学分,最高总学分是32学分。其中,公共学位课5学分,专业学位课4学分,非学位课最低23学分,最高23学分</w:t>
            </w:r>
          </w:p>
        </w:tc>
        <w:tc>
          <w:tcPr>
            <w:tcW w:w="425" w:type="pct"/>
            <w:tcBorders>
              <w:bottom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课程类别</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课程编号</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课程中文名称</w:t>
            </w:r>
            <w:r w:rsidRPr="00E3414B">
              <w:rPr>
                <w:rFonts w:ascii="宋体" w:eastAsia="宋体" w:hAnsi="宋体" w:cs="宋体" w:hint="eastAsia"/>
                <w:color w:val="000000"/>
                <w:sz w:val="18"/>
                <w:szCs w:val="18"/>
              </w:rPr>
              <w:br/>
              <w:t>（课程英文名称）</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学分</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学时</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开课学期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开课单位</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考核方式</w:t>
            </w:r>
          </w:p>
        </w:tc>
        <w:tc>
          <w:tcPr>
            <w:tcW w:w="42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备注</w:t>
            </w: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公共学位课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085213mc03</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工程伦理</w:t>
            </w:r>
            <w:r w:rsidRPr="00E3414B">
              <w:rPr>
                <w:rFonts w:ascii="宋体" w:eastAsia="宋体" w:hAnsi="宋体" w:cs="宋体" w:hint="eastAsia"/>
                <w:color w:val="000000"/>
                <w:sz w:val="18"/>
                <w:szCs w:val="18"/>
              </w:rPr>
              <w:br/>
              <w:t>Engineering Ethics</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1</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16</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环境学院,环境与气候研究院,质谱仪器与大气环境研究所</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r w:rsidRPr="00E3414B">
              <w:rPr>
                <w:rFonts w:ascii="宋体" w:eastAsia="宋体" w:hAnsi="宋体" w:cs="宋体" w:hint="eastAsia"/>
                <w:color w:val="000000"/>
                <w:sz w:val="18"/>
                <w:szCs w:val="18"/>
              </w:rPr>
              <w:t>必修</w:t>
            </w: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公共学位课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105590ma31</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中国概况</w:t>
            </w:r>
            <w:r w:rsidRPr="00E3414B">
              <w:rPr>
                <w:rFonts w:ascii="宋体" w:eastAsia="宋体" w:hAnsi="宋体" w:cs="宋体" w:hint="eastAsia"/>
                <w:color w:val="000000"/>
                <w:sz w:val="18"/>
                <w:szCs w:val="18"/>
              </w:rPr>
              <w:br/>
              <w:t>General Introduction of China</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36</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华文学院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r w:rsidRPr="00E3414B">
              <w:rPr>
                <w:rFonts w:ascii="宋体" w:eastAsia="宋体" w:hAnsi="宋体" w:cs="宋体" w:hint="eastAsia"/>
                <w:color w:val="000000"/>
                <w:sz w:val="18"/>
                <w:szCs w:val="18"/>
              </w:rPr>
              <w:t>华人及来华留学生</w:t>
            </w: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公共学位课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105590ma25</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汉语</w:t>
            </w:r>
            <w:r w:rsidRPr="00E3414B">
              <w:rPr>
                <w:rFonts w:ascii="宋体" w:eastAsia="宋体" w:hAnsi="宋体" w:cs="宋体" w:hint="eastAsia"/>
                <w:color w:val="000000"/>
                <w:sz w:val="18"/>
                <w:szCs w:val="18"/>
              </w:rPr>
              <w:br/>
              <w:t>Chinese Language</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36</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华文学院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r w:rsidRPr="00E3414B">
              <w:rPr>
                <w:rFonts w:ascii="宋体" w:eastAsia="宋体" w:hAnsi="宋体" w:cs="宋体" w:hint="eastAsia"/>
                <w:color w:val="000000"/>
                <w:sz w:val="18"/>
                <w:szCs w:val="18"/>
              </w:rPr>
              <w:t>华人及来华留学生</w:t>
            </w: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公共学位课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105590ma23</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中国现代化理论与实践研究</w:t>
            </w:r>
            <w:r w:rsidRPr="00E3414B">
              <w:rPr>
                <w:rFonts w:ascii="宋体" w:eastAsia="宋体" w:hAnsi="宋体" w:cs="宋体" w:hint="eastAsia"/>
                <w:color w:val="000000"/>
                <w:sz w:val="18"/>
                <w:szCs w:val="18"/>
              </w:rPr>
              <w:br/>
              <w:t>Chinese Modernization Theory and Practice Research</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36</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马克思主义学院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r w:rsidRPr="00E3414B">
              <w:rPr>
                <w:rFonts w:ascii="宋体" w:eastAsia="宋体" w:hAnsi="宋体" w:cs="宋体" w:hint="eastAsia"/>
                <w:color w:val="000000"/>
                <w:sz w:val="18"/>
                <w:szCs w:val="18"/>
              </w:rPr>
              <w:t>港澳台侨生</w:t>
            </w: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公共学位课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105590maf1</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基础英语</w:t>
            </w:r>
            <w:r w:rsidRPr="00E3414B">
              <w:rPr>
                <w:rFonts w:ascii="宋体" w:eastAsia="宋体" w:hAnsi="宋体" w:cs="宋体" w:hint="eastAsia"/>
                <w:color w:val="000000"/>
                <w:sz w:val="18"/>
                <w:szCs w:val="18"/>
              </w:rPr>
              <w:br/>
              <w:t>Fundamental English</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外国语学院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r w:rsidRPr="00E3414B">
              <w:rPr>
                <w:rFonts w:ascii="宋体" w:eastAsia="宋体" w:hAnsi="宋体" w:cs="宋体" w:hint="eastAsia"/>
                <w:color w:val="000000"/>
                <w:sz w:val="18"/>
                <w:szCs w:val="18"/>
              </w:rPr>
              <w:t>港澳台侨生</w:t>
            </w: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专业学位课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085229mb03</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水污染控制原理与工艺</w:t>
            </w:r>
            <w:r w:rsidRPr="00E3414B">
              <w:rPr>
                <w:rFonts w:ascii="宋体" w:eastAsia="宋体" w:hAnsi="宋体" w:cs="宋体" w:hint="eastAsia"/>
                <w:color w:val="000000"/>
                <w:sz w:val="18"/>
                <w:szCs w:val="18"/>
              </w:rPr>
              <w:br/>
              <w:t>Water Pollution Control Principle and Technology</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专业学位课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085229mb09</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实验设计与数据处理</w:t>
            </w:r>
            <w:r w:rsidRPr="00E3414B">
              <w:rPr>
                <w:rFonts w:ascii="宋体" w:eastAsia="宋体" w:hAnsi="宋体" w:cs="宋体" w:hint="eastAsia"/>
                <w:color w:val="000000"/>
                <w:sz w:val="18"/>
                <w:szCs w:val="18"/>
              </w:rPr>
              <w:br/>
              <w:t>Experimental Design and Data Processing</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专业学位课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085229mb04</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土壤污染控制原理与技术</w:t>
            </w:r>
            <w:r w:rsidRPr="00E3414B">
              <w:rPr>
                <w:rFonts w:ascii="宋体" w:eastAsia="宋体" w:hAnsi="宋体" w:cs="宋体" w:hint="eastAsia"/>
                <w:color w:val="000000"/>
                <w:sz w:val="18"/>
                <w:szCs w:val="18"/>
              </w:rPr>
              <w:br/>
              <w:t>Soil Pollution Control Principle and Technology</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专业学位课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085229mb05</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大气污染控制原理与技术</w:t>
            </w:r>
            <w:r w:rsidRPr="00E3414B">
              <w:rPr>
                <w:rFonts w:ascii="宋体" w:eastAsia="宋体" w:hAnsi="宋体" w:cs="宋体" w:hint="eastAsia"/>
                <w:color w:val="000000"/>
                <w:sz w:val="18"/>
                <w:szCs w:val="18"/>
              </w:rPr>
              <w:br/>
              <w:t>Air Pollution Control Principle and Technology</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环境与气候研究院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083002mc08</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环境分析技术</w:t>
            </w:r>
            <w:r w:rsidRPr="00E3414B">
              <w:rPr>
                <w:rFonts w:ascii="宋体" w:eastAsia="宋体" w:hAnsi="宋体" w:cs="宋体" w:hint="eastAsia"/>
                <w:color w:val="000000"/>
                <w:sz w:val="18"/>
                <w:szCs w:val="18"/>
              </w:rPr>
              <w:br/>
              <w:t>Environmental Analysis Technology</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环境与气候研究院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w:t>
            </w:r>
            <w:r w:rsidRPr="00E3414B">
              <w:rPr>
                <w:rFonts w:ascii="宋体" w:eastAsia="宋体" w:hAnsi="宋体" w:cs="宋体" w:hint="eastAsia"/>
                <w:color w:val="000000"/>
                <w:sz w:val="18"/>
                <w:szCs w:val="18"/>
              </w:rPr>
              <w:lastRenderedPageBreak/>
              <w:t>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lastRenderedPageBreak/>
              <w:t>085229mb07</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环境管理系统工程</w:t>
            </w:r>
            <w:r w:rsidRPr="00E3414B">
              <w:rPr>
                <w:rFonts w:ascii="宋体" w:eastAsia="宋体" w:hAnsi="宋体" w:cs="宋体" w:hint="eastAsia"/>
                <w:color w:val="000000"/>
                <w:sz w:val="18"/>
                <w:szCs w:val="18"/>
              </w:rPr>
              <w:br/>
            </w:r>
            <w:r w:rsidRPr="00E3414B">
              <w:rPr>
                <w:rFonts w:ascii="宋体" w:eastAsia="宋体" w:hAnsi="宋体" w:cs="宋体" w:hint="eastAsia"/>
                <w:color w:val="000000"/>
                <w:sz w:val="18"/>
                <w:szCs w:val="18"/>
              </w:rPr>
              <w:lastRenderedPageBreak/>
              <w:t>Environmental Management System Engineering</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lastRenderedPageBreak/>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第2</w:t>
            </w:r>
            <w:r w:rsidRPr="00E3414B">
              <w:rPr>
                <w:rFonts w:ascii="宋体" w:eastAsia="宋体" w:hAnsi="宋体" w:cs="宋体" w:hint="eastAsia"/>
                <w:color w:val="000000"/>
                <w:sz w:val="18"/>
                <w:szCs w:val="18"/>
              </w:rPr>
              <w:lastRenderedPageBreak/>
              <w:t>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lastRenderedPageBreak/>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w:t>
            </w:r>
            <w:r w:rsidRPr="00E3414B">
              <w:rPr>
                <w:rFonts w:ascii="宋体" w:eastAsia="宋体" w:hAnsi="宋体" w:cs="宋体" w:hint="eastAsia"/>
                <w:color w:val="000000"/>
                <w:sz w:val="18"/>
                <w:szCs w:val="18"/>
              </w:rPr>
              <w:lastRenderedPageBreak/>
              <w:t>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lastRenderedPageBreak/>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085229mc19</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环境风险评估</w:t>
            </w:r>
            <w:r w:rsidRPr="00E3414B">
              <w:rPr>
                <w:rFonts w:ascii="宋体" w:eastAsia="宋体" w:hAnsi="宋体" w:cs="宋体" w:hint="eastAsia"/>
                <w:color w:val="000000"/>
                <w:sz w:val="18"/>
                <w:szCs w:val="18"/>
              </w:rPr>
              <w:br/>
              <w:t>Environmental Risk Assessment</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083000mc15</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环境化学进展</w:t>
            </w:r>
            <w:r w:rsidRPr="00E3414B">
              <w:rPr>
                <w:rFonts w:ascii="宋体" w:eastAsia="宋体" w:hAnsi="宋体" w:cs="宋体" w:hint="eastAsia"/>
                <w:color w:val="000000"/>
                <w:sz w:val="18"/>
                <w:szCs w:val="18"/>
              </w:rPr>
              <w:br/>
              <w:t>Advances in Environmental Chemistry</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085229mc03</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工程环境监理</w:t>
            </w:r>
            <w:r w:rsidRPr="00E3414B">
              <w:rPr>
                <w:rFonts w:ascii="宋体" w:eastAsia="宋体" w:hAnsi="宋体" w:cs="宋体" w:hint="eastAsia"/>
                <w:color w:val="000000"/>
                <w:sz w:val="18"/>
                <w:szCs w:val="18"/>
              </w:rPr>
              <w:br/>
              <w:t>Project Environmental Supervision</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第2学期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085229mc28</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大气辐射及遥感技术</w:t>
            </w:r>
            <w:r w:rsidRPr="00E3414B">
              <w:rPr>
                <w:rFonts w:ascii="宋体" w:eastAsia="宋体" w:hAnsi="宋体" w:cs="宋体" w:hint="eastAsia"/>
                <w:color w:val="000000"/>
                <w:sz w:val="18"/>
                <w:szCs w:val="18"/>
              </w:rPr>
              <w:br/>
              <w:t>Theories and Techniques in Remote Sensing</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第2学期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环境与气候研究院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085229mc22</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质谱应用</w:t>
            </w:r>
            <w:r w:rsidRPr="00E3414B">
              <w:rPr>
                <w:rFonts w:ascii="宋体" w:eastAsia="宋体" w:hAnsi="宋体" w:cs="宋体" w:hint="eastAsia"/>
                <w:color w:val="000000"/>
                <w:sz w:val="18"/>
                <w:szCs w:val="18"/>
              </w:rPr>
              <w:br/>
              <w:t>Application of Mass Spectrometry</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第2学期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质谱仪器与大气环境研究所</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085229mc09</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大气化学及其应用</w:t>
            </w:r>
            <w:r w:rsidRPr="00E3414B">
              <w:rPr>
                <w:rFonts w:ascii="宋体" w:eastAsia="宋体" w:hAnsi="宋体" w:cs="宋体" w:hint="eastAsia"/>
                <w:color w:val="000000"/>
                <w:sz w:val="18"/>
                <w:szCs w:val="18"/>
              </w:rPr>
              <w:br/>
              <w:t>Atmospheric hemistry and Applications</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环境与气候研究院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085229mc32</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大气污染排放与数值模拟</w:t>
            </w:r>
            <w:r w:rsidRPr="00E3414B">
              <w:rPr>
                <w:rFonts w:ascii="宋体" w:eastAsia="宋体" w:hAnsi="宋体" w:cs="宋体" w:hint="eastAsia"/>
                <w:color w:val="000000"/>
                <w:sz w:val="18"/>
                <w:szCs w:val="18"/>
              </w:rPr>
              <w:br/>
              <w:t>Air Pollution Emission and Numerical Simulation</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环境与气候研究院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085229mc16</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环境地理信息系统技术</w:t>
            </w:r>
            <w:r w:rsidRPr="00E3414B">
              <w:rPr>
                <w:rFonts w:ascii="宋体" w:eastAsia="宋体" w:hAnsi="宋体" w:cs="宋体" w:hint="eastAsia"/>
                <w:color w:val="000000"/>
                <w:sz w:val="18"/>
                <w:szCs w:val="18"/>
              </w:rPr>
              <w:br/>
              <w:t>Methods of Geographic Information System in Environmental Science</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第2学期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环境与气候研究院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085229mc05</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清洁生产技术与实践</w:t>
            </w:r>
            <w:r w:rsidRPr="00E3414B">
              <w:rPr>
                <w:rFonts w:ascii="宋体" w:eastAsia="宋体" w:hAnsi="宋体" w:cs="宋体" w:hint="eastAsia"/>
                <w:color w:val="000000"/>
                <w:sz w:val="18"/>
                <w:szCs w:val="18"/>
              </w:rPr>
              <w:br/>
              <w:t>Cleaner Production Technology and Practice</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085229mc01</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行业前沿讲座</w:t>
            </w:r>
            <w:r w:rsidRPr="00E3414B">
              <w:rPr>
                <w:rFonts w:ascii="宋体" w:eastAsia="宋体" w:hAnsi="宋体" w:cs="宋体" w:hint="eastAsia"/>
                <w:color w:val="000000"/>
                <w:sz w:val="18"/>
                <w:szCs w:val="18"/>
              </w:rPr>
              <w:br/>
              <w:t>Lectures on Frontier Profession</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环境学院,环境与气候研究院,质谱仪器与大气环境研究所</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085229mc15</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环境统计分析与R语言应用</w:t>
            </w:r>
            <w:r w:rsidRPr="00E3414B">
              <w:rPr>
                <w:rFonts w:ascii="宋体" w:eastAsia="宋体" w:hAnsi="宋体" w:cs="宋体" w:hint="eastAsia"/>
                <w:color w:val="000000"/>
                <w:sz w:val="18"/>
                <w:szCs w:val="18"/>
              </w:rPr>
              <w:br/>
              <w:t>Environmental Statistics with R</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32</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第2学期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环境与气候研究院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085229mc26</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大气颗粒物理论与应用</w:t>
            </w:r>
            <w:r w:rsidRPr="00E3414B">
              <w:rPr>
                <w:rFonts w:ascii="宋体" w:eastAsia="宋体" w:hAnsi="宋体" w:cs="宋体" w:hint="eastAsia"/>
                <w:color w:val="000000"/>
                <w:sz w:val="18"/>
                <w:szCs w:val="18"/>
              </w:rPr>
              <w:br/>
              <w:t>Atmospheric Aerosol Particles: Theory and Application</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环境与气候研究院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085229mc20</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物理化学分离工程</w:t>
            </w:r>
            <w:r w:rsidRPr="00E3414B">
              <w:rPr>
                <w:rFonts w:ascii="宋体" w:eastAsia="宋体" w:hAnsi="宋体" w:cs="宋体" w:hint="eastAsia"/>
                <w:color w:val="000000"/>
                <w:sz w:val="18"/>
                <w:szCs w:val="18"/>
              </w:rPr>
              <w:br/>
              <w:t>Physicochemical Separation Engineering</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085229mc07</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环境生物技术与应用</w:t>
            </w:r>
            <w:r w:rsidRPr="00E3414B">
              <w:rPr>
                <w:rFonts w:ascii="宋体" w:eastAsia="宋体" w:hAnsi="宋体" w:cs="宋体" w:hint="eastAsia"/>
                <w:color w:val="000000"/>
                <w:sz w:val="18"/>
                <w:szCs w:val="18"/>
              </w:rPr>
              <w:br/>
              <w:t>Environmental Biotechnology and Application</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3</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60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105590maf6</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知识产权</w:t>
            </w:r>
            <w:r w:rsidRPr="00E3414B">
              <w:rPr>
                <w:rFonts w:ascii="宋体" w:eastAsia="宋体" w:hAnsi="宋体" w:cs="宋体" w:hint="eastAsia"/>
                <w:color w:val="000000"/>
                <w:sz w:val="18"/>
                <w:szCs w:val="18"/>
              </w:rPr>
              <w:br/>
              <w:t>Intellectual Property</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1</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第2学期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法学院/知识产权学院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085229mc30</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地下水污染防控技术</w:t>
            </w:r>
            <w:r w:rsidRPr="00E3414B">
              <w:rPr>
                <w:rFonts w:ascii="宋体" w:eastAsia="宋体" w:hAnsi="宋体" w:cs="宋体" w:hint="eastAsia"/>
                <w:color w:val="000000"/>
                <w:sz w:val="18"/>
                <w:szCs w:val="18"/>
              </w:rPr>
              <w:br/>
              <w:t>Prevention and Control Techniques for Groundwater Contamination</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地下水与地球科学研究院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083000mc16</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科学绘图</w:t>
            </w:r>
            <w:r w:rsidRPr="00E3414B">
              <w:rPr>
                <w:rFonts w:ascii="宋体" w:eastAsia="宋体" w:hAnsi="宋体" w:cs="宋体" w:hint="eastAsia"/>
                <w:color w:val="000000"/>
                <w:sz w:val="18"/>
                <w:szCs w:val="18"/>
              </w:rPr>
              <w:br/>
              <w:t>Scientific Drawing</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1</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第2学期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085229mc27</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大气物理概论及监测应用</w:t>
            </w:r>
            <w:r w:rsidRPr="00E3414B">
              <w:rPr>
                <w:rFonts w:ascii="宋体" w:eastAsia="宋体" w:hAnsi="宋体" w:cs="宋体" w:hint="eastAsia"/>
                <w:color w:val="000000"/>
                <w:sz w:val="18"/>
                <w:szCs w:val="18"/>
              </w:rPr>
              <w:br/>
              <w:t xml:space="preserve">Theories of Atmospheric </w:t>
            </w:r>
            <w:r w:rsidRPr="00E3414B">
              <w:rPr>
                <w:rFonts w:ascii="宋体" w:eastAsia="宋体" w:hAnsi="宋体" w:cs="宋体" w:hint="eastAsia"/>
                <w:color w:val="000000"/>
                <w:sz w:val="18"/>
                <w:szCs w:val="18"/>
              </w:rPr>
              <w:lastRenderedPageBreak/>
              <w:t>Pysics and Aplications in Amospheric Masurements</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lastRenderedPageBreak/>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环境与气候研究院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lastRenderedPageBreak/>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083000mb04</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高级英语写作</w:t>
            </w:r>
            <w:r w:rsidRPr="00E3414B">
              <w:rPr>
                <w:rFonts w:ascii="宋体" w:eastAsia="宋体" w:hAnsi="宋体" w:cs="宋体" w:hint="eastAsia"/>
                <w:color w:val="000000"/>
                <w:sz w:val="18"/>
                <w:szCs w:val="18"/>
              </w:rPr>
              <w:br/>
              <w:t>Advanced Academic Writing</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第3学期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环境学院,环境与气候研究院,质谱仪器与大气环境研究所</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085229mc18</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专业实践</w:t>
            </w:r>
            <w:r w:rsidRPr="00E3414B">
              <w:rPr>
                <w:rFonts w:ascii="宋体" w:eastAsia="宋体" w:hAnsi="宋体" w:cs="宋体" w:hint="eastAsia"/>
                <w:color w:val="000000"/>
                <w:sz w:val="18"/>
                <w:szCs w:val="18"/>
              </w:rPr>
              <w:br/>
              <w:t>Professional Practice</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6</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第3学期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环境学院,环境与气候研究院,质谱仪器与大气环境研究所</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学习报告</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r w:rsidRPr="00E3414B">
              <w:rPr>
                <w:rFonts w:ascii="宋体" w:eastAsia="宋体" w:hAnsi="宋体" w:cs="宋体" w:hint="eastAsia"/>
                <w:color w:val="000000"/>
                <w:sz w:val="18"/>
                <w:szCs w:val="18"/>
              </w:rPr>
              <w:t>必修</w:t>
            </w: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085229mc31</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水文数值模拟技术</w:t>
            </w:r>
            <w:r w:rsidRPr="00E3414B">
              <w:rPr>
                <w:rFonts w:ascii="宋体" w:eastAsia="宋体" w:hAnsi="宋体" w:cs="宋体" w:hint="eastAsia"/>
                <w:color w:val="000000"/>
                <w:sz w:val="18"/>
                <w:szCs w:val="18"/>
              </w:rPr>
              <w:br/>
              <w:t>Hydrologic Numerical Simulation Technology</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第2学期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地下水与地球科学研究院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085229mc29</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环境水文工程</w:t>
            </w:r>
            <w:r w:rsidRPr="00E3414B">
              <w:rPr>
                <w:rFonts w:ascii="宋体" w:eastAsia="宋体" w:hAnsi="宋体" w:cs="宋体" w:hint="eastAsia"/>
                <w:color w:val="000000"/>
                <w:sz w:val="18"/>
                <w:szCs w:val="18"/>
              </w:rPr>
              <w:br/>
              <w:t>Environmental Hydrology Engineering</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地下水与地球科学研究院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085229mc06</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工程招投标</w:t>
            </w:r>
            <w:r w:rsidRPr="00E3414B">
              <w:rPr>
                <w:rFonts w:ascii="宋体" w:eastAsia="宋体" w:hAnsi="宋体" w:cs="宋体" w:hint="eastAsia"/>
                <w:color w:val="000000"/>
                <w:sz w:val="18"/>
                <w:szCs w:val="18"/>
              </w:rPr>
              <w:br/>
              <w:t>Project Bid and Tender</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第2学期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085229mc21</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环境功能材料研究进展</w:t>
            </w:r>
            <w:r w:rsidRPr="00E3414B">
              <w:rPr>
                <w:rFonts w:ascii="宋体" w:eastAsia="宋体" w:hAnsi="宋体" w:cs="宋体" w:hint="eastAsia"/>
                <w:color w:val="000000"/>
                <w:sz w:val="18"/>
                <w:szCs w:val="18"/>
              </w:rPr>
              <w:br/>
              <w:t>Research Advances in Environmental Functional Materials</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085229mc17</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环境影响评价案例分析</w:t>
            </w:r>
            <w:r w:rsidRPr="00E3414B">
              <w:rPr>
                <w:rFonts w:ascii="宋体" w:eastAsia="宋体" w:hAnsi="宋体" w:cs="宋体" w:hint="eastAsia"/>
                <w:color w:val="000000"/>
                <w:sz w:val="18"/>
                <w:szCs w:val="18"/>
              </w:rPr>
              <w:br/>
              <w:t>Case Analysis of Environmental Impact and Assessment</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第2学期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085229mc23</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大气监测技术与实验</w:t>
            </w:r>
            <w:r w:rsidRPr="00E3414B">
              <w:rPr>
                <w:rFonts w:ascii="宋体" w:eastAsia="宋体" w:hAnsi="宋体" w:cs="宋体" w:hint="eastAsia"/>
                <w:color w:val="000000"/>
                <w:sz w:val="18"/>
                <w:szCs w:val="18"/>
              </w:rPr>
              <w:br/>
              <w:t>Amospheric Monitoring Technology and Experiment</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第2学期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环境与气候研究院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085229mc24</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实用环境气象</w:t>
            </w:r>
            <w:r w:rsidRPr="00E3414B">
              <w:rPr>
                <w:rFonts w:ascii="宋体" w:eastAsia="宋体" w:hAnsi="宋体" w:cs="宋体" w:hint="eastAsia"/>
                <w:color w:val="000000"/>
                <w:sz w:val="18"/>
                <w:szCs w:val="18"/>
              </w:rPr>
              <w:br/>
              <w:t>Practical Environmental Meteorology</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3</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60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环境与气候研究院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085229mb06</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固体污染控制原理与技术</w:t>
            </w:r>
            <w:r w:rsidRPr="00E3414B">
              <w:rPr>
                <w:rFonts w:ascii="宋体" w:eastAsia="宋体" w:hAnsi="宋体" w:cs="宋体" w:hint="eastAsia"/>
                <w:color w:val="000000"/>
                <w:sz w:val="18"/>
                <w:szCs w:val="18"/>
              </w:rPr>
              <w:br/>
              <w:t>Solid Waste Pollution Control Principle and Technology</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085229mc04</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环境安全与应急管理</w:t>
            </w:r>
            <w:r w:rsidRPr="00E3414B">
              <w:rPr>
                <w:rFonts w:ascii="宋体" w:eastAsia="宋体" w:hAnsi="宋体" w:cs="宋体" w:hint="eastAsia"/>
                <w:color w:val="000000"/>
                <w:sz w:val="18"/>
                <w:szCs w:val="18"/>
              </w:rPr>
              <w:br/>
              <w:t>Environmental Safety and Emergency Management</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第2学期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环境学院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考试或考查</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非学位课</w:t>
            </w:r>
          </w:p>
        </w:tc>
        <w:tc>
          <w:tcPr>
            <w:tcW w:w="50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085229mc25</w:t>
            </w:r>
          </w:p>
        </w:tc>
        <w:tc>
          <w:tcPr>
            <w:tcW w:w="142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应用城市气象</w:t>
            </w:r>
            <w:r w:rsidRPr="00E3414B">
              <w:rPr>
                <w:rFonts w:ascii="宋体" w:eastAsia="宋体" w:hAnsi="宋体" w:cs="宋体" w:hint="eastAsia"/>
                <w:color w:val="000000"/>
                <w:sz w:val="18"/>
                <w:szCs w:val="18"/>
              </w:rPr>
              <w:br/>
              <w:t>Practical Urban Meteorology</w:t>
            </w:r>
          </w:p>
        </w:tc>
        <w:tc>
          <w:tcPr>
            <w:tcW w:w="16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2</w:t>
            </w:r>
          </w:p>
        </w:tc>
        <w:tc>
          <w:tcPr>
            <w:tcW w:w="18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第1学期</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环境与气候研究院</w:t>
            </w:r>
          </w:p>
        </w:tc>
        <w:tc>
          <w:tcPr>
            <w:tcW w:w="3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414B" w:rsidRPr="00E3414B" w:rsidRDefault="00E3414B" w:rsidP="00E3414B">
            <w:pPr>
              <w:adjustRightInd/>
              <w:snapToGrid/>
              <w:spacing w:after="0"/>
              <w:jc w:val="center"/>
              <w:rPr>
                <w:rFonts w:ascii="宋体" w:eastAsia="宋体" w:hAnsi="宋体" w:cs="宋体"/>
                <w:color w:val="000000"/>
                <w:sz w:val="18"/>
                <w:szCs w:val="18"/>
              </w:rPr>
            </w:pPr>
            <w:r w:rsidRPr="00E3414B">
              <w:rPr>
                <w:rFonts w:ascii="宋体" w:eastAsia="宋体" w:hAnsi="宋体" w:cs="宋体" w:hint="eastAsia"/>
                <w:color w:val="000000"/>
                <w:sz w:val="18"/>
                <w:szCs w:val="18"/>
              </w:rPr>
              <w:t>考试</w:t>
            </w:r>
          </w:p>
        </w:tc>
        <w:tc>
          <w:tcPr>
            <w:tcW w:w="425" w:type="pct"/>
            <w:tcBorders>
              <w:top w:val="single" w:sz="8" w:space="0" w:color="000000"/>
              <w:left w:val="single" w:sz="8" w:space="0" w:color="000000"/>
              <w:bottom w:val="single" w:sz="8" w:space="0" w:color="000000"/>
              <w:righ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tcBorders>
              <w:left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vAlign w:val="center"/>
            <w:hideMark/>
          </w:tcPr>
          <w:p w:rsidR="00E3414B" w:rsidRPr="00E3414B" w:rsidRDefault="00E3414B" w:rsidP="00E3414B">
            <w:pPr>
              <w:adjustRightInd/>
              <w:snapToGrid/>
              <w:spacing w:after="0"/>
              <w:rPr>
                <w:rFonts w:ascii="宋体" w:eastAsia="宋体" w:hAnsi="宋体" w:cs="宋体"/>
                <w:sz w:val="24"/>
                <w:szCs w:val="24"/>
              </w:rPr>
            </w:pPr>
          </w:p>
        </w:tc>
        <w:tc>
          <w:tcPr>
            <w:tcW w:w="501" w:type="pct"/>
            <w:vAlign w:val="center"/>
            <w:hideMark/>
          </w:tcPr>
          <w:p w:rsidR="00E3414B" w:rsidRPr="00E3414B" w:rsidRDefault="00E3414B" w:rsidP="00E3414B">
            <w:pPr>
              <w:adjustRightInd/>
              <w:snapToGrid/>
              <w:spacing w:after="0"/>
              <w:rPr>
                <w:rFonts w:ascii="Times New Roman" w:eastAsia="Times New Roman" w:hAnsi="Times New Roman" w:cs="Times New Roman"/>
                <w:sz w:val="20"/>
                <w:szCs w:val="20"/>
              </w:rPr>
            </w:pPr>
          </w:p>
        </w:tc>
        <w:tc>
          <w:tcPr>
            <w:tcW w:w="747" w:type="pct"/>
            <w:vAlign w:val="center"/>
            <w:hideMark/>
          </w:tcPr>
          <w:p w:rsidR="00E3414B" w:rsidRPr="00E3414B" w:rsidRDefault="00E3414B" w:rsidP="00E3414B">
            <w:pPr>
              <w:adjustRightInd/>
              <w:snapToGrid/>
              <w:spacing w:after="0"/>
              <w:rPr>
                <w:rFonts w:ascii="Times New Roman" w:eastAsia="Times New Roman" w:hAnsi="Times New Roman" w:cs="Times New Roman"/>
                <w:sz w:val="20"/>
                <w:szCs w:val="20"/>
              </w:rPr>
            </w:pPr>
          </w:p>
        </w:tc>
        <w:tc>
          <w:tcPr>
            <w:tcW w:w="681" w:type="pct"/>
            <w:vAlign w:val="center"/>
            <w:hideMark/>
          </w:tcPr>
          <w:p w:rsidR="00E3414B" w:rsidRPr="00E3414B" w:rsidRDefault="00E3414B" w:rsidP="00E3414B">
            <w:pPr>
              <w:adjustRightInd/>
              <w:snapToGrid/>
              <w:spacing w:after="0"/>
              <w:rPr>
                <w:rFonts w:ascii="Times New Roman" w:eastAsia="Times New Roman" w:hAnsi="Times New Roman" w:cs="Times New Roman"/>
                <w:sz w:val="20"/>
                <w:szCs w:val="20"/>
              </w:rPr>
            </w:pPr>
          </w:p>
        </w:tc>
        <w:tc>
          <w:tcPr>
            <w:tcW w:w="162" w:type="pct"/>
            <w:vAlign w:val="center"/>
            <w:hideMark/>
          </w:tcPr>
          <w:p w:rsidR="00E3414B" w:rsidRPr="00E3414B" w:rsidRDefault="00E3414B" w:rsidP="00E3414B">
            <w:pPr>
              <w:adjustRightInd/>
              <w:snapToGrid/>
              <w:spacing w:after="0"/>
              <w:rPr>
                <w:rFonts w:ascii="Times New Roman" w:eastAsia="Times New Roman" w:hAnsi="Times New Roman" w:cs="Times New Roman"/>
                <w:sz w:val="20"/>
                <w:szCs w:val="20"/>
              </w:rPr>
            </w:pPr>
          </w:p>
        </w:tc>
        <w:tc>
          <w:tcPr>
            <w:tcW w:w="184" w:type="pct"/>
            <w:vAlign w:val="center"/>
            <w:hideMark/>
          </w:tcPr>
          <w:p w:rsidR="00E3414B" w:rsidRPr="00E3414B" w:rsidRDefault="00E3414B" w:rsidP="00E3414B">
            <w:pPr>
              <w:adjustRightInd/>
              <w:snapToGrid/>
              <w:spacing w:after="0"/>
              <w:rPr>
                <w:rFonts w:ascii="Times New Roman" w:eastAsia="Times New Roman" w:hAnsi="Times New Roman" w:cs="Times New Roman"/>
                <w:sz w:val="20"/>
                <w:szCs w:val="20"/>
              </w:rPr>
            </w:pPr>
          </w:p>
        </w:tc>
        <w:tc>
          <w:tcPr>
            <w:tcW w:w="267" w:type="pct"/>
            <w:vAlign w:val="center"/>
            <w:hideMark/>
          </w:tcPr>
          <w:p w:rsidR="00E3414B" w:rsidRPr="00E3414B" w:rsidRDefault="00E3414B" w:rsidP="00E3414B">
            <w:pPr>
              <w:adjustRightInd/>
              <w:snapToGrid/>
              <w:spacing w:after="0"/>
              <w:rPr>
                <w:rFonts w:ascii="Times New Roman" w:eastAsia="Times New Roman" w:hAnsi="Times New Roman" w:cs="Times New Roman"/>
                <w:sz w:val="20"/>
                <w:szCs w:val="20"/>
              </w:rPr>
            </w:pPr>
          </w:p>
        </w:tc>
        <w:tc>
          <w:tcPr>
            <w:tcW w:w="1395" w:type="pct"/>
            <w:vAlign w:val="center"/>
            <w:hideMark/>
          </w:tcPr>
          <w:p w:rsidR="00E3414B" w:rsidRPr="00E3414B" w:rsidRDefault="00E3414B" w:rsidP="00E3414B">
            <w:pPr>
              <w:adjustRightInd/>
              <w:snapToGrid/>
              <w:spacing w:after="0"/>
              <w:rPr>
                <w:rFonts w:ascii="Times New Roman" w:eastAsia="Times New Roman" w:hAnsi="Times New Roman" w:cs="Times New Roman"/>
                <w:sz w:val="20"/>
                <w:szCs w:val="20"/>
              </w:rPr>
            </w:pPr>
          </w:p>
        </w:tc>
        <w:tc>
          <w:tcPr>
            <w:tcW w:w="319" w:type="pct"/>
            <w:vAlign w:val="center"/>
            <w:hideMark/>
          </w:tcPr>
          <w:p w:rsidR="00E3414B" w:rsidRPr="00E3414B" w:rsidRDefault="00E3414B" w:rsidP="00E3414B">
            <w:pPr>
              <w:adjustRightInd/>
              <w:snapToGrid/>
              <w:spacing w:after="0"/>
              <w:rPr>
                <w:rFonts w:ascii="Times New Roman" w:eastAsia="Times New Roman" w:hAnsi="Times New Roman" w:cs="Times New Roman"/>
                <w:sz w:val="20"/>
                <w:szCs w:val="20"/>
              </w:rPr>
            </w:pPr>
          </w:p>
        </w:tc>
        <w:tc>
          <w:tcPr>
            <w:tcW w:w="425" w:type="pct"/>
            <w:vAlign w:val="center"/>
            <w:hideMark/>
          </w:tcPr>
          <w:p w:rsidR="00E3414B" w:rsidRPr="00E3414B" w:rsidRDefault="00E3414B" w:rsidP="00E3414B">
            <w:pPr>
              <w:adjustRightInd/>
              <w:snapToGrid/>
              <w:spacing w:after="0"/>
              <w:rPr>
                <w:rFonts w:ascii="Times New Roman" w:eastAsia="Times New Roman" w:hAnsi="Times New Roman" w:cs="Times New Roman"/>
                <w:sz w:val="20"/>
                <w:szCs w:val="20"/>
              </w:rPr>
            </w:pPr>
          </w:p>
        </w:tc>
        <w:tc>
          <w:tcPr>
            <w:tcW w:w="6" w:type="pct"/>
            <w:vAlign w:val="center"/>
            <w:hideMark/>
          </w:tcPr>
          <w:p w:rsidR="00E3414B" w:rsidRPr="00E3414B" w:rsidRDefault="00E3414B" w:rsidP="00E3414B">
            <w:pPr>
              <w:adjustRightInd/>
              <w:snapToGrid/>
              <w:spacing w:after="0"/>
              <w:rPr>
                <w:rFonts w:ascii="Times New Roman" w:eastAsia="Times New Roman" w:hAnsi="Times New Roman" w:cs="Times New Roman"/>
                <w:sz w:val="20"/>
                <w:szCs w:val="20"/>
              </w:rPr>
            </w:pPr>
          </w:p>
        </w:tc>
      </w:tr>
      <w:tr w:rsidR="00E3414B" w:rsidRPr="00E3414B" w:rsidTr="00E3414B">
        <w:trPr>
          <w:trHeight w:val="300"/>
        </w:trPr>
        <w:tc>
          <w:tcPr>
            <w:tcW w:w="314" w:type="pct"/>
            <w:vAlign w:val="center"/>
            <w:hideMark/>
          </w:tcPr>
          <w:p w:rsidR="00E3414B" w:rsidRPr="00E3414B" w:rsidRDefault="00E3414B" w:rsidP="00E3414B">
            <w:pPr>
              <w:adjustRightInd/>
              <w:snapToGrid/>
              <w:spacing w:after="0"/>
              <w:rPr>
                <w:rFonts w:ascii="宋体" w:eastAsia="宋体" w:hAnsi="宋体" w:cs="宋体"/>
                <w:sz w:val="24"/>
                <w:szCs w:val="24"/>
              </w:rPr>
            </w:pPr>
          </w:p>
        </w:tc>
        <w:tc>
          <w:tcPr>
            <w:tcW w:w="501" w:type="pct"/>
            <w:vAlign w:val="center"/>
            <w:hideMark/>
          </w:tcPr>
          <w:p w:rsidR="00E3414B" w:rsidRPr="00E3414B" w:rsidRDefault="00E3414B" w:rsidP="00E3414B">
            <w:pPr>
              <w:adjustRightInd/>
              <w:snapToGrid/>
              <w:spacing w:after="0"/>
              <w:rPr>
                <w:rFonts w:ascii="Times New Roman" w:eastAsia="Times New Roman" w:hAnsi="Times New Roman" w:cs="Times New Roman"/>
                <w:sz w:val="20"/>
                <w:szCs w:val="20"/>
              </w:rPr>
            </w:pPr>
          </w:p>
        </w:tc>
        <w:tc>
          <w:tcPr>
            <w:tcW w:w="747" w:type="pct"/>
            <w:vAlign w:val="center"/>
            <w:hideMark/>
          </w:tcPr>
          <w:p w:rsidR="00E3414B" w:rsidRPr="00E3414B" w:rsidRDefault="00E3414B" w:rsidP="00E3414B">
            <w:pPr>
              <w:adjustRightInd/>
              <w:snapToGrid/>
              <w:spacing w:after="0"/>
              <w:rPr>
                <w:rFonts w:ascii="Times New Roman" w:eastAsia="Times New Roman" w:hAnsi="Times New Roman" w:cs="Times New Roman"/>
                <w:sz w:val="20"/>
                <w:szCs w:val="20"/>
              </w:rPr>
            </w:pPr>
          </w:p>
        </w:tc>
        <w:tc>
          <w:tcPr>
            <w:tcW w:w="681" w:type="pct"/>
            <w:vAlign w:val="center"/>
            <w:hideMark/>
          </w:tcPr>
          <w:p w:rsidR="00E3414B" w:rsidRPr="00E3414B" w:rsidRDefault="00E3414B" w:rsidP="00E3414B">
            <w:pPr>
              <w:adjustRightInd/>
              <w:snapToGrid/>
              <w:spacing w:after="0"/>
              <w:rPr>
                <w:rFonts w:ascii="Times New Roman" w:eastAsia="Times New Roman" w:hAnsi="Times New Roman" w:cs="Times New Roman"/>
                <w:sz w:val="20"/>
                <w:szCs w:val="20"/>
              </w:rPr>
            </w:pPr>
          </w:p>
        </w:tc>
        <w:tc>
          <w:tcPr>
            <w:tcW w:w="162" w:type="pct"/>
            <w:vAlign w:val="center"/>
            <w:hideMark/>
          </w:tcPr>
          <w:p w:rsidR="00E3414B" w:rsidRPr="00E3414B" w:rsidRDefault="00E3414B" w:rsidP="00E3414B">
            <w:pPr>
              <w:adjustRightInd/>
              <w:snapToGrid/>
              <w:spacing w:after="0"/>
              <w:rPr>
                <w:rFonts w:ascii="Times New Roman" w:eastAsia="Times New Roman" w:hAnsi="Times New Roman" w:cs="Times New Roman"/>
                <w:sz w:val="20"/>
                <w:szCs w:val="20"/>
              </w:rPr>
            </w:pPr>
          </w:p>
        </w:tc>
        <w:tc>
          <w:tcPr>
            <w:tcW w:w="184" w:type="pct"/>
            <w:vAlign w:val="center"/>
            <w:hideMark/>
          </w:tcPr>
          <w:p w:rsidR="00E3414B" w:rsidRPr="00E3414B" w:rsidRDefault="00E3414B" w:rsidP="00E3414B">
            <w:pPr>
              <w:adjustRightInd/>
              <w:snapToGrid/>
              <w:spacing w:after="0"/>
              <w:rPr>
                <w:rFonts w:ascii="Times New Roman" w:eastAsia="Times New Roman" w:hAnsi="Times New Roman" w:cs="Times New Roman"/>
                <w:sz w:val="20"/>
                <w:szCs w:val="20"/>
              </w:rPr>
            </w:pPr>
          </w:p>
        </w:tc>
        <w:tc>
          <w:tcPr>
            <w:tcW w:w="267" w:type="pct"/>
            <w:vAlign w:val="center"/>
            <w:hideMark/>
          </w:tcPr>
          <w:p w:rsidR="00E3414B" w:rsidRPr="00E3414B" w:rsidRDefault="00E3414B" w:rsidP="00E3414B">
            <w:pPr>
              <w:adjustRightInd/>
              <w:snapToGrid/>
              <w:spacing w:after="0"/>
              <w:rPr>
                <w:rFonts w:ascii="Times New Roman" w:eastAsia="Times New Roman" w:hAnsi="Times New Roman" w:cs="Times New Roman"/>
                <w:sz w:val="20"/>
                <w:szCs w:val="20"/>
              </w:rPr>
            </w:pPr>
          </w:p>
        </w:tc>
        <w:tc>
          <w:tcPr>
            <w:tcW w:w="1395" w:type="pct"/>
            <w:vAlign w:val="center"/>
            <w:hideMark/>
          </w:tcPr>
          <w:p w:rsidR="00E3414B" w:rsidRPr="00E3414B" w:rsidRDefault="00E3414B" w:rsidP="00E3414B">
            <w:pPr>
              <w:adjustRightInd/>
              <w:snapToGrid/>
              <w:spacing w:after="0"/>
              <w:rPr>
                <w:rFonts w:ascii="Times New Roman" w:eastAsia="Times New Roman" w:hAnsi="Times New Roman" w:cs="Times New Roman"/>
                <w:sz w:val="20"/>
                <w:szCs w:val="20"/>
              </w:rPr>
            </w:pPr>
          </w:p>
        </w:tc>
        <w:tc>
          <w:tcPr>
            <w:tcW w:w="319" w:type="pct"/>
            <w:vAlign w:val="center"/>
            <w:hideMark/>
          </w:tcPr>
          <w:p w:rsidR="00E3414B" w:rsidRPr="00E3414B" w:rsidRDefault="00E3414B" w:rsidP="00E3414B">
            <w:pPr>
              <w:adjustRightInd/>
              <w:snapToGrid/>
              <w:spacing w:after="0"/>
              <w:rPr>
                <w:rFonts w:ascii="Times New Roman" w:eastAsia="Times New Roman" w:hAnsi="Times New Roman" w:cs="Times New Roman"/>
                <w:sz w:val="20"/>
                <w:szCs w:val="20"/>
              </w:rPr>
            </w:pPr>
          </w:p>
        </w:tc>
        <w:tc>
          <w:tcPr>
            <w:tcW w:w="425" w:type="pct"/>
            <w:vAlign w:val="center"/>
            <w:hideMark/>
          </w:tcPr>
          <w:p w:rsidR="00E3414B" w:rsidRPr="00E3414B" w:rsidRDefault="00E3414B" w:rsidP="00E3414B">
            <w:pPr>
              <w:adjustRightInd/>
              <w:snapToGrid/>
              <w:spacing w:after="0"/>
              <w:rPr>
                <w:rFonts w:ascii="Times New Roman" w:eastAsia="Times New Roman" w:hAnsi="Times New Roman" w:cs="Times New Roman"/>
                <w:sz w:val="20"/>
                <w:szCs w:val="20"/>
              </w:rPr>
            </w:pPr>
          </w:p>
        </w:tc>
        <w:tc>
          <w:tcPr>
            <w:tcW w:w="6" w:type="pct"/>
            <w:vAlign w:val="center"/>
            <w:hideMark/>
          </w:tcPr>
          <w:p w:rsidR="00E3414B" w:rsidRPr="00E3414B" w:rsidRDefault="00E3414B" w:rsidP="00E3414B">
            <w:pPr>
              <w:adjustRightInd/>
              <w:snapToGrid/>
              <w:spacing w:after="0"/>
              <w:rPr>
                <w:rFonts w:ascii="Times New Roman" w:eastAsia="Times New Roman" w:hAnsi="Times New Roman" w:cs="Times New Roman"/>
                <w:sz w:val="20"/>
                <w:szCs w:val="20"/>
              </w:rPr>
            </w:pPr>
          </w:p>
        </w:tc>
      </w:tr>
      <w:tr w:rsidR="00E3414B" w:rsidRPr="00E3414B" w:rsidTr="00E3414B">
        <w:trPr>
          <w:trHeight w:val="300"/>
        </w:trPr>
        <w:tc>
          <w:tcPr>
            <w:tcW w:w="314" w:type="pct"/>
            <w:tcBorders>
              <w:top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501" w:type="pct"/>
            <w:tcBorders>
              <w:top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747" w:type="pct"/>
            <w:tcBorders>
              <w:top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81" w:type="pct"/>
            <w:tcBorders>
              <w:top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62" w:type="pct"/>
            <w:tcBorders>
              <w:top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84" w:type="pct"/>
            <w:tcBorders>
              <w:top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267" w:type="pct"/>
            <w:tcBorders>
              <w:top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395" w:type="pct"/>
            <w:tcBorders>
              <w:top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319" w:type="pct"/>
            <w:tcBorders>
              <w:top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425" w:type="pct"/>
            <w:tcBorders>
              <w:top w:val="single" w:sz="8" w:space="0" w:color="000000"/>
            </w:tcBorders>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4994" w:type="pct"/>
            <w:gridSpan w:val="10"/>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r w:rsidRPr="00E3414B">
              <w:rPr>
                <w:rFonts w:ascii="宋体" w:eastAsia="宋体" w:hAnsi="宋体" w:cs="宋体" w:hint="eastAsia"/>
                <w:color w:val="000000"/>
                <w:sz w:val="18"/>
                <w:szCs w:val="18"/>
              </w:rPr>
              <w:t>课程说明</w:t>
            </w: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4569" w:type="pct"/>
            <w:gridSpan w:val="9"/>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r w:rsidRPr="00E3414B">
              <w:rPr>
                <w:rFonts w:ascii="宋体" w:eastAsia="宋体" w:hAnsi="宋体" w:cs="宋体" w:hint="eastAsia"/>
                <w:color w:val="000000"/>
                <w:sz w:val="18"/>
                <w:szCs w:val="18"/>
              </w:rPr>
              <w:t xml:space="preserve">1.专业学位课中的课程，均为选修课，选够学分即可。 </w:t>
            </w:r>
            <w:r w:rsidRPr="00E3414B">
              <w:rPr>
                <w:rFonts w:ascii="宋体" w:eastAsia="宋体" w:hAnsi="宋体" w:cs="宋体" w:hint="eastAsia"/>
                <w:color w:val="000000"/>
                <w:sz w:val="18"/>
                <w:szCs w:val="18"/>
              </w:rPr>
              <w:br/>
              <w:t xml:space="preserve">2.非学位课中专业实践为必修，其他课程为选修。 </w:t>
            </w:r>
            <w:r w:rsidRPr="00E3414B">
              <w:rPr>
                <w:rFonts w:ascii="宋体" w:eastAsia="宋体" w:hAnsi="宋体" w:cs="宋体" w:hint="eastAsia"/>
                <w:color w:val="000000"/>
                <w:sz w:val="18"/>
                <w:szCs w:val="18"/>
              </w:rPr>
              <w:br/>
              <w:t>3.导师还可根据研究工作需要和硕士生的学科基础指定补修课程，补修课程记成绩，不计学分。</w:t>
            </w:r>
          </w:p>
        </w:tc>
        <w:tc>
          <w:tcPr>
            <w:tcW w:w="425"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501"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747"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81"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62"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84"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267"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395"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319"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425"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4569" w:type="pct"/>
            <w:gridSpan w:val="9"/>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r w:rsidRPr="00E3414B">
              <w:rPr>
                <w:rFonts w:ascii="宋体" w:eastAsia="宋体" w:hAnsi="宋体" w:cs="宋体" w:hint="eastAsia"/>
                <w:color w:val="000000"/>
                <w:sz w:val="18"/>
                <w:szCs w:val="18"/>
              </w:rPr>
              <w:t>四、培养方式与方法</w:t>
            </w:r>
          </w:p>
        </w:tc>
        <w:tc>
          <w:tcPr>
            <w:tcW w:w="425"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4569" w:type="pct"/>
            <w:gridSpan w:val="9"/>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r w:rsidRPr="00E3414B">
              <w:rPr>
                <w:rFonts w:ascii="宋体" w:eastAsia="宋体" w:hAnsi="宋体" w:cs="宋体" w:hint="eastAsia"/>
                <w:color w:val="000000"/>
                <w:sz w:val="18"/>
                <w:szCs w:val="18"/>
              </w:rPr>
              <w:t xml:space="preserve">采取课程学习、专业实践和学位论文相结合的培养方式。 </w:t>
            </w:r>
            <w:r w:rsidRPr="00E3414B">
              <w:rPr>
                <w:rFonts w:ascii="宋体" w:eastAsia="宋体" w:hAnsi="宋体" w:cs="宋体" w:hint="eastAsia"/>
                <w:color w:val="000000"/>
                <w:sz w:val="18"/>
                <w:szCs w:val="18"/>
              </w:rPr>
              <w:br/>
              <w:t xml:space="preserve">指导方式采取“双导师制”，即由一名专业学位指导老师，及一名具有丰富实践经验、综合业务素质高的实践指导教师共同指导。积极聘请行（企）业具有丰富实践经验的专家担任校外导师，实行校内外双导师（导师组）共同指导，以校内导师指导为主，校外导师充分发挥职业优势。 </w:t>
            </w:r>
            <w:r w:rsidRPr="00E3414B">
              <w:rPr>
                <w:rFonts w:ascii="宋体" w:eastAsia="宋体" w:hAnsi="宋体" w:cs="宋体" w:hint="eastAsia"/>
                <w:color w:val="000000"/>
                <w:sz w:val="18"/>
                <w:szCs w:val="18"/>
              </w:rPr>
              <w:br/>
              <w:t>专业学位研究生的个人培养计划由导师主持制订并签字。进校后，导师与学生之间应就培养中的各项问题充分交换意见，在此基础上制订出合乎要求的、切实可行的培养计划。硕士生培养计划</w:t>
            </w:r>
            <w:r w:rsidRPr="00E3414B">
              <w:rPr>
                <w:rFonts w:ascii="宋体" w:eastAsia="宋体" w:hAnsi="宋体" w:cs="宋体" w:hint="eastAsia"/>
                <w:color w:val="000000"/>
                <w:sz w:val="18"/>
                <w:szCs w:val="18"/>
              </w:rPr>
              <w:lastRenderedPageBreak/>
              <w:t>须于学生进校后2个月内制订好，并导入研究生教育综合管理系统中，经导师确认后，由硕士生所在院(所、中心)批准备案。</w:t>
            </w:r>
          </w:p>
        </w:tc>
        <w:tc>
          <w:tcPr>
            <w:tcW w:w="425"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501"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747"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81"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62"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84"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267"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395"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319"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425"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4569" w:type="pct"/>
            <w:gridSpan w:val="9"/>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r w:rsidRPr="00E3414B">
              <w:rPr>
                <w:rFonts w:ascii="宋体" w:eastAsia="宋体" w:hAnsi="宋体" w:cs="宋体" w:hint="eastAsia"/>
                <w:color w:val="000000"/>
                <w:sz w:val="18"/>
                <w:szCs w:val="18"/>
              </w:rPr>
              <w:t>五、考核方式</w:t>
            </w:r>
          </w:p>
        </w:tc>
        <w:tc>
          <w:tcPr>
            <w:tcW w:w="425"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4569" w:type="pct"/>
            <w:gridSpan w:val="9"/>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r w:rsidRPr="00E3414B">
              <w:rPr>
                <w:rFonts w:ascii="宋体" w:eastAsia="宋体" w:hAnsi="宋体" w:cs="宋体" w:hint="eastAsia"/>
                <w:color w:val="000000"/>
                <w:sz w:val="18"/>
                <w:szCs w:val="18"/>
              </w:rPr>
              <w:t xml:space="preserve">研究生的学位课程原则上进行考试。除实验课进行考查外，其他选修课可进行考试或考查。 </w:t>
            </w:r>
            <w:r w:rsidRPr="00E3414B">
              <w:rPr>
                <w:rFonts w:ascii="宋体" w:eastAsia="宋体" w:hAnsi="宋体" w:cs="宋体" w:hint="eastAsia"/>
                <w:color w:val="000000"/>
                <w:sz w:val="18"/>
                <w:szCs w:val="18"/>
              </w:rPr>
              <w:br/>
              <w:t xml:space="preserve">课程考试及考查成绩均按百分制评定。根据《暨南大学研究生学业成绩考核管理规定》的要求，学位课程成绩达到70分以上（含70分）为合格，可获得相应学分；非学位课程成绩60分以上（含60分）即可获得相应学分。 </w:t>
            </w:r>
            <w:r w:rsidRPr="00E3414B">
              <w:rPr>
                <w:rFonts w:ascii="宋体" w:eastAsia="宋体" w:hAnsi="宋体" w:cs="宋体" w:hint="eastAsia"/>
                <w:color w:val="000000"/>
                <w:sz w:val="18"/>
                <w:szCs w:val="18"/>
              </w:rPr>
              <w:br/>
              <w:t>通过开题报告之后，要进行中期考核。中期考核旨在对照培养方案的要求，从德、智、体各方面对研究生的学业进展情况进行全面检查，并对其后续学业安排提出意见、建议和要求，考核等级为“合格”及以上的研究生，方可进入毕业、学位申请环节。</w:t>
            </w:r>
          </w:p>
        </w:tc>
        <w:tc>
          <w:tcPr>
            <w:tcW w:w="425"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501"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747"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81"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62"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84"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267"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395"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319"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425"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4994" w:type="pct"/>
            <w:gridSpan w:val="10"/>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r w:rsidRPr="00E3414B">
              <w:rPr>
                <w:rFonts w:ascii="宋体" w:eastAsia="宋体" w:hAnsi="宋体" w:cs="宋体" w:hint="eastAsia"/>
                <w:color w:val="000000"/>
                <w:sz w:val="18"/>
                <w:szCs w:val="18"/>
              </w:rPr>
              <w:t>六、实践环节</w:t>
            </w: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4994" w:type="pct"/>
            <w:gridSpan w:val="10"/>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r w:rsidRPr="00E3414B">
              <w:rPr>
                <w:rFonts w:ascii="宋体" w:eastAsia="宋体" w:hAnsi="宋体" w:cs="宋体" w:hint="eastAsia"/>
                <w:color w:val="000000"/>
                <w:sz w:val="18"/>
                <w:szCs w:val="18"/>
              </w:rPr>
              <w:t>专业实践是资源与环境专业学位研究生培养过程中的重要环节，充分的、高质量的专业实践是专业学位研究生培养质量的重要保证。通过专业实践应达到：基本熟悉专业相关的企事业单位的工作流程和相关职业及技术规范，培养实践研究和技术创新能力，并结合实践内容完成论文选题工作必须保证不少于半年的实践，应届本科毕业生的实践时间原则上不少于1年。实践一般应在现场或实习单位完成，可采用集中实践与分段实践相结合的方式。由导师组考核及格者方可获得6学分。</w:t>
            </w: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501"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747"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81"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62"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84"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267"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395"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319"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425"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4994" w:type="pct"/>
            <w:gridSpan w:val="10"/>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r w:rsidRPr="00E3414B">
              <w:rPr>
                <w:rFonts w:ascii="宋体" w:eastAsia="宋体" w:hAnsi="宋体" w:cs="宋体" w:hint="eastAsia"/>
                <w:color w:val="000000"/>
                <w:sz w:val="18"/>
                <w:szCs w:val="18"/>
              </w:rPr>
              <w:t>七、开题报告</w:t>
            </w: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4994" w:type="pct"/>
            <w:gridSpan w:val="10"/>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r w:rsidRPr="00E3414B">
              <w:rPr>
                <w:rFonts w:ascii="宋体" w:eastAsia="宋体" w:hAnsi="宋体" w:cs="宋体" w:hint="eastAsia"/>
                <w:color w:val="000000"/>
                <w:sz w:val="18"/>
                <w:szCs w:val="18"/>
              </w:rPr>
              <w:t xml:space="preserve">研究生入学后的第1学期，应在导师指导下拟定研究方向和论文题目。最迟于第3学期完成学位论文开题报告。 </w:t>
            </w:r>
            <w:r w:rsidRPr="00E3414B">
              <w:rPr>
                <w:rFonts w:ascii="宋体" w:eastAsia="宋体" w:hAnsi="宋体" w:cs="宋体" w:hint="eastAsia"/>
                <w:color w:val="000000"/>
                <w:sz w:val="18"/>
                <w:szCs w:val="18"/>
              </w:rPr>
              <w:br/>
              <w:t xml:space="preserve">开题报告应就选题依据、国内外发展动态、研究内容、预期目标、研究方案等做出论证，并在所属学位点进行开题报告，听取意见并进行必要的修改和调整，并在研究生教育综合管理系统完成开题报告。对于选题不合适、方法不得当、措施无法落实的开题报告，不准进入学位论文撰写阶段，需重新进行论文开题。 </w:t>
            </w: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501"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747"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81"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62"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84"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267"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395"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319"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425" w:type="pct"/>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5000" w:type="pct"/>
            <w:gridSpan w:val="11"/>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r w:rsidRPr="00E3414B">
              <w:rPr>
                <w:rFonts w:ascii="宋体" w:eastAsia="宋体" w:hAnsi="宋体" w:cs="宋体" w:hint="eastAsia"/>
                <w:color w:val="000000"/>
                <w:sz w:val="18"/>
                <w:szCs w:val="18"/>
              </w:rPr>
              <w:t>八、学位论文</w:t>
            </w:r>
          </w:p>
        </w:tc>
      </w:tr>
      <w:tr w:rsidR="00E3414B" w:rsidRPr="00E3414B" w:rsidTr="00E3414B">
        <w:trPr>
          <w:trHeight w:val="300"/>
        </w:trPr>
        <w:tc>
          <w:tcPr>
            <w:tcW w:w="5000" w:type="pct"/>
            <w:gridSpan w:val="11"/>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r w:rsidRPr="00E3414B">
              <w:rPr>
                <w:rFonts w:ascii="宋体" w:eastAsia="宋体" w:hAnsi="宋体" w:cs="宋体" w:hint="eastAsia"/>
                <w:color w:val="000000"/>
                <w:sz w:val="18"/>
                <w:szCs w:val="18"/>
              </w:rPr>
              <w:t xml:space="preserve">（一）学位论文要求 </w:t>
            </w:r>
            <w:r w:rsidRPr="00E3414B">
              <w:rPr>
                <w:rFonts w:ascii="宋体" w:eastAsia="宋体" w:hAnsi="宋体" w:cs="宋体" w:hint="eastAsia"/>
                <w:color w:val="000000"/>
                <w:sz w:val="18"/>
                <w:szCs w:val="18"/>
              </w:rPr>
              <w:br/>
              <w:t xml:space="preserve">1.学位论文选题应来源于实践，具有良好的实践应用价值。论文形式可以多种多样，可采用调研报告、应用研究、工程设计、产品研发、环境影响评价/清洁生产审核/环境监理/环境规划与管理研究等形式。 </w:t>
            </w:r>
            <w:r w:rsidRPr="00E3414B">
              <w:rPr>
                <w:rFonts w:ascii="宋体" w:eastAsia="宋体" w:hAnsi="宋体" w:cs="宋体" w:hint="eastAsia"/>
                <w:color w:val="000000"/>
                <w:sz w:val="18"/>
                <w:szCs w:val="18"/>
              </w:rPr>
              <w:br/>
              <w:t xml:space="preserve">2.学位论文的评审应着重于其应用价值的问题，审核学生综合运用科学理论、方法和技术手段解决实际问题的能力，审核其解决实际问题的思路和方法和进展，审核其工艺、技术和设计的先进性和可行性，审核学位论文工作的技术难度和工作量。学位论文字数一般为2.5-3万字。 </w:t>
            </w:r>
            <w:r w:rsidRPr="00E3414B">
              <w:rPr>
                <w:rFonts w:ascii="宋体" w:eastAsia="宋体" w:hAnsi="宋体" w:cs="宋体" w:hint="eastAsia"/>
                <w:color w:val="000000"/>
                <w:sz w:val="18"/>
                <w:szCs w:val="18"/>
              </w:rPr>
              <w:br/>
              <w:t xml:space="preserve">3.鼓励硕士生在读期间，在本学科专业领域学术期刊发表有实用价值论文（或解决问题的案例分析）、申请专利和参与申请项目等。 </w:t>
            </w:r>
            <w:r w:rsidRPr="00E3414B">
              <w:rPr>
                <w:rFonts w:ascii="宋体" w:eastAsia="宋体" w:hAnsi="宋体" w:cs="宋体" w:hint="eastAsia"/>
                <w:color w:val="000000"/>
                <w:sz w:val="18"/>
                <w:szCs w:val="18"/>
              </w:rPr>
              <w:br/>
              <w:t xml:space="preserve">（二）学位论文答辩及学位授予 </w:t>
            </w:r>
            <w:r w:rsidRPr="00E3414B">
              <w:rPr>
                <w:rFonts w:ascii="宋体" w:eastAsia="宋体" w:hAnsi="宋体" w:cs="宋体" w:hint="eastAsia"/>
                <w:color w:val="000000"/>
                <w:sz w:val="18"/>
                <w:szCs w:val="18"/>
              </w:rPr>
              <w:br/>
              <w:t xml:space="preserve">1．研究生修满培养方案规定的课程和学分，完成规定的环节，成绩合格，通过学位论文工作中期报告后，方可申请论文答辩。 </w:t>
            </w:r>
            <w:r w:rsidRPr="00E3414B">
              <w:rPr>
                <w:rFonts w:ascii="宋体" w:eastAsia="宋体" w:hAnsi="宋体" w:cs="宋体" w:hint="eastAsia"/>
                <w:color w:val="000000"/>
                <w:sz w:val="18"/>
                <w:szCs w:val="18"/>
              </w:rPr>
              <w:br/>
              <w:t xml:space="preserve">2．学位论文的评审、答辩等工作按《暨南大学学位授予工作实施细则执行》。答辩通过且符合授予学位条件者，经暨南大学学位评定委员会审批，可授予研究生专业学位。其中，学位论文应聘请本领域或相近领域的2名具有应用研究经验的专家进行评阅。答辩委员会由3-5专家组成，其中应至少有1名来自企事业或应用研究部门的同行专家。 </w:t>
            </w:r>
          </w:p>
        </w:tc>
      </w:tr>
      <w:tr w:rsidR="00E3414B" w:rsidRPr="00E3414B" w:rsidTr="00E3414B">
        <w:trPr>
          <w:trHeight w:val="300"/>
        </w:trPr>
        <w:tc>
          <w:tcPr>
            <w:tcW w:w="314"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501"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747"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81"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62"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84"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267"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395"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319"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425"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5000" w:type="pct"/>
            <w:gridSpan w:val="11"/>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r w:rsidRPr="00E3414B">
              <w:rPr>
                <w:rFonts w:ascii="宋体" w:eastAsia="宋体" w:hAnsi="宋体" w:cs="宋体" w:hint="eastAsia"/>
                <w:color w:val="000000"/>
                <w:sz w:val="18"/>
                <w:szCs w:val="18"/>
              </w:rPr>
              <w:t>九、其他</w:t>
            </w:r>
          </w:p>
        </w:tc>
      </w:tr>
      <w:tr w:rsidR="00E3414B" w:rsidRPr="00E3414B" w:rsidTr="00E3414B">
        <w:trPr>
          <w:trHeight w:val="300"/>
        </w:trPr>
        <w:tc>
          <w:tcPr>
            <w:tcW w:w="5000" w:type="pct"/>
            <w:gridSpan w:val="11"/>
            <w:shd w:val="clear" w:color="auto" w:fill="FFFFFF"/>
            <w:vAlign w:val="center"/>
            <w:hideMark/>
          </w:tcPr>
          <w:p w:rsidR="00E3414B" w:rsidRPr="00E3414B" w:rsidRDefault="00E3414B" w:rsidP="00E3414B">
            <w:pPr>
              <w:adjustRightInd/>
              <w:snapToGrid/>
              <w:spacing w:after="0"/>
              <w:rPr>
                <w:rFonts w:ascii="宋体" w:eastAsia="宋体" w:hAnsi="宋体" w:cs="宋体"/>
                <w:color w:val="000000"/>
                <w:sz w:val="18"/>
                <w:szCs w:val="18"/>
              </w:rPr>
            </w:pPr>
            <w:r w:rsidRPr="00E3414B">
              <w:rPr>
                <w:rFonts w:ascii="宋体" w:eastAsia="宋体" w:hAnsi="宋体" w:cs="宋体" w:hint="eastAsia"/>
                <w:color w:val="000000"/>
                <w:sz w:val="18"/>
                <w:szCs w:val="18"/>
              </w:rPr>
              <w:t>无</w:t>
            </w:r>
          </w:p>
        </w:tc>
      </w:tr>
      <w:tr w:rsidR="00E3414B" w:rsidRPr="00E3414B" w:rsidTr="00E3414B">
        <w:trPr>
          <w:trHeight w:val="300"/>
        </w:trPr>
        <w:tc>
          <w:tcPr>
            <w:tcW w:w="314"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501"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747"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81"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62"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84"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267"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395"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319"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425"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6"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r>
      <w:tr w:rsidR="00E3414B" w:rsidRPr="00E3414B" w:rsidTr="00E3414B">
        <w:trPr>
          <w:trHeight w:val="300"/>
        </w:trPr>
        <w:tc>
          <w:tcPr>
            <w:tcW w:w="314"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501"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773" w:type="pct"/>
            <w:gridSpan w:val="4"/>
            <w:shd w:val="clear" w:color="auto" w:fill="FFFFFF"/>
            <w:vAlign w:val="center"/>
            <w:hideMark/>
          </w:tcPr>
          <w:p w:rsidR="00E3414B" w:rsidRPr="00E3414B" w:rsidRDefault="00E3414B" w:rsidP="00E3414B">
            <w:pPr>
              <w:adjustRightInd/>
              <w:snapToGrid/>
              <w:spacing w:after="0"/>
              <w:jc w:val="right"/>
              <w:rPr>
                <w:rFonts w:ascii="宋体" w:eastAsia="宋体" w:hAnsi="宋体" w:cs="宋体"/>
                <w:color w:val="000000"/>
                <w:sz w:val="18"/>
                <w:szCs w:val="18"/>
              </w:rPr>
            </w:pPr>
            <w:r w:rsidRPr="00E3414B">
              <w:rPr>
                <w:rFonts w:ascii="宋体" w:eastAsia="宋体" w:hAnsi="宋体" w:cs="宋体" w:hint="eastAsia"/>
                <w:color w:val="000000"/>
                <w:sz w:val="18"/>
                <w:szCs w:val="18"/>
              </w:rPr>
              <w:t>学院/类别专业学位教育指导委员会主任（签名）：</w:t>
            </w:r>
          </w:p>
        </w:tc>
        <w:tc>
          <w:tcPr>
            <w:tcW w:w="2412" w:type="pct"/>
            <w:gridSpan w:val="5"/>
            <w:shd w:val="clear" w:color="auto" w:fill="FFFFFF"/>
            <w:vAlign w:val="center"/>
            <w:hideMark/>
          </w:tcPr>
          <w:p w:rsidR="00E3414B" w:rsidRPr="00E3414B" w:rsidRDefault="00E3414B" w:rsidP="00E3414B">
            <w:pPr>
              <w:adjustRightInd/>
              <w:snapToGrid/>
              <w:spacing w:after="0"/>
              <w:jc w:val="right"/>
              <w:rPr>
                <w:rFonts w:ascii="宋体" w:eastAsia="宋体" w:hAnsi="宋体" w:cs="宋体"/>
                <w:color w:val="000000"/>
                <w:sz w:val="18"/>
                <w:szCs w:val="18"/>
              </w:rPr>
            </w:pPr>
          </w:p>
        </w:tc>
      </w:tr>
      <w:tr w:rsidR="00E3414B" w:rsidRPr="00E3414B" w:rsidTr="00E3414B">
        <w:trPr>
          <w:trHeight w:val="300"/>
        </w:trPr>
        <w:tc>
          <w:tcPr>
            <w:tcW w:w="314"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501"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747" w:type="pct"/>
            <w:shd w:val="clear" w:color="auto" w:fill="FFFFFF"/>
            <w:hideMark/>
          </w:tcPr>
          <w:p w:rsidR="00E3414B" w:rsidRPr="00E3414B" w:rsidRDefault="00E3414B" w:rsidP="00E3414B">
            <w:pPr>
              <w:adjustRightInd/>
              <w:snapToGrid/>
              <w:spacing w:after="0"/>
              <w:rPr>
                <w:rFonts w:ascii="宋体" w:eastAsia="宋体" w:hAnsi="宋体" w:cs="宋体"/>
                <w:color w:val="000000"/>
                <w:sz w:val="18"/>
                <w:szCs w:val="18"/>
              </w:rPr>
            </w:pPr>
          </w:p>
        </w:tc>
        <w:tc>
          <w:tcPr>
            <w:tcW w:w="1027" w:type="pct"/>
            <w:gridSpan w:val="3"/>
            <w:shd w:val="clear" w:color="auto" w:fill="FFFFFF"/>
            <w:vAlign w:val="center"/>
            <w:hideMark/>
          </w:tcPr>
          <w:p w:rsidR="00E3414B" w:rsidRPr="00E3414B" w:rsidRDefault="00E3414B" w:rsidP="00E3414B">
            <w:pPr>
              <w:adjustRightInd/>
              <w:snapToGrid/>
              <w:spacing w:after="0"/>
              <w:jc w:val="right"/>
              <w:rPr>
                <w:rFonts w:ascii="宋体" w:eastAsia="宋体" w:hAnsi="宋体" w:cs="宋体"/>
                <w:color w:val="000000"/>
                <w:sz w:val="18"/>
                <w:szCs w:val="18"/>
              </w:rPr>
            </w:pPr>
            <w:r w:rsidRPr="00E3414B">
              <w:rPr>
                <w:rFonts w:ascii="宋体" w:eastAsia="宋体" w:hAnsi="宋体" w:cs="宋体" w:hint="eastAsia"/>
                <w:color w:val="000000"/>
                <w:sz w:val="18"/>
                <w:szCs w:val="18"/>
              </w:rPr>
              <w:t>学院主管院领导（签名）：</w:t>
            </w:r>
          </w:p>
        </w:tc>
        <w:tc>
          <w:tcPr>
            <w:tcW w:w="267" w:type="pct"/>
            <w:vAlign w:val="center"/>
            <w:hideMark/>
          </w:tcPr>
          <w:p w:rsidR="00E3414B" w:rsidRPr="00E3414B" w:rsidRDefault="00E3414B" w:rsidP="00E3414B">
            <w:pPr>
              <w:adjustRightInd/>
              <w:snapToGrid/>
              <w:spacing w:after="0"/>
              <w:rPr>
                <w:rFonts w:ascii="Times New Roman" w:eastAsia="Times New Roman" w:hAnsi="Times New Roman" w:cs="Times New Roman"/>
                <w:sz w:val="20"/>
                <w:szCs w:val="20"/>
              </w:rPr>
            </w:pPr>
          </w:p>
        </w:tc>
        <w:tc>
          <w:tcPr>
            <w:tcW w:w="1395" w:type="pct"/>
            <w:vAlign w:val="center"/>
            <w:hideMark/>
          </w:tcPr>
          <w:p w:rsidR="00E3414B" w:rsidRPr="00E3414B" w:rsidRDefault="00E3414B" w:rsidP="00E3414B">
            <w:pPr>
              <w:adjustRightInd/>
              <w:snapToGrid/>
              <w:spacing w:after="0"/>
              <w:rPr>
                <w:rFonts w:ascii="Times New Roman" w:eastAsia="Times New Roman" w:hAnsi="Times New Roman" w:cs="Times New Roman"/>
                <w:sz w:val="20"/>
                <w:szCs w:val="20"/>
              </w:rPr>
            </w:pPr>
          </w:p>
        </w:tc>
        <w:tc>
          <w:tcPr>
            <w:tcW w:w="319" w:type="pct"/>
            <w:vAlign w:val="center"/>
            <w:hideMark/>
          </w:tcPr>
          <w:p w:rsidR="00E3414B" w:rsidRPr="00E3414B" w:rsidRDefault="00E3414B" w:rsidP="00E3414B">
            <w:pPr>
              <w:adjustRightInd/>
              <w:snapToGrid/>
              <w:spacing w:after="0"/>
              <w:rPr>
                <w:rFonts w:ascii="Times New Roman" w:eastAsia="Times New Roman" w:hAnsi="Times New Roman" w:cs="Times New Roman"/>
                <w:sz w:val="20"/>
                <w:szCs w:val="20"/>
              </w:rPr>
            </w:pPr>
          </w:p>
        </w:tc>
        <w:tc>
          <w:tcPr>
            <w:tcW w:w="425" w:type="pct"/>
            <w:vAlign w:val="center"/>
            <w:hideMark/>
          </w:tcPr>
          <w:p w:rsidR="00E3414B" w:rsidRPr="00E3414B" w:rsidRDefault="00E3414B" w:rsidP="00E3414B">
            <w:pPr>
              <w:adjustRightInd/>
              <w:snapToGrid/>
              <w:spacing w:after="0"/>
              <w:rPr>
                <w:rFonts w:ascii="Times New Roman" w:eastAsia="Times New Roman" w:hAnsi="Times New Roman" w:cs="Times New Roman"/>
                <w:sz w:val="20"/>
                <w:szCs w:val="20"/>
              </w:rPr>
            </w:pPr>
          </w:p>
        </w:tc>
        <w:tc>
          <w:tcPr>
            <w:tcW w:w="6" w:type="pct"/>
            <w:vAlign w:val="center"/>
            <w:hideMark/>
          </w:tcPr>
          <w:p w:rsidR="00E3414B" w:rsidRPr="00E3414B" w:rsidRDefault="00E3414B" w:rsidP="00E3414B">
            <w:pPr>
              <w:adjustRightInd/>
              <w:snapToGrid/>
              <w:spacing w:after="0"/>
              <w:rPr>
                <w:rFonts w:ascii="Times New Roman" w:eastAsia="Times New Roman" w:hAnsi="Times New Roman" w:cs="Times New Roman"/>
                <w:sz w:val="20"/>
                <w:szCs w:val="20"/>
              </w:rPr>
            </w:pP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8B3" w:rsidRDefault="00F248B3" w:rsidP="00E3414B">
      <w:pPr>
        <w:spacing w:after="0"/>
      </w:pPr>
      <w:r>
        <w:separator/>
      </w:r>
    </w:p>
  </w:endnote>
  <w:endnote w:type="continuationSeparator" w:id="0">
    <w:p w:rsidR="00F248B3" w:rsidRDefault="00F248B3" w:rsidP="00E341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8B3" w:rsidRDefault="00F248B3" w:rsidP="00E3414B">
      <w:pPr>
        <w:spacing w:after="0"/>
      </w:pPr>
      <w:r>
        <w:separator/>
      </w:r>
    </w:p>
  </w:footnote>
  <w:footnote w:type="continuationSeparator" w:id="0">
    <w:p w:rsidR="00F248B3" w:rsidRDefault="00F248B3" w:rsidP="00E3414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323B43"/>
    <w:rsid w:val="003D37D8"/>
    <w:rsid w:val="004155A5"/>
    <w:rsid w:val="00426133"/>
    <w:rsid w:val="004358AB"/>
    <w:rsid w:val="008819EC"/>
    <w:rsid w:val="008B4879"/>
    <w:rsid w:val="008B7726"/>
    <w:rsid w:val="00D31D50"/>
    <w:rsid w:val="00E3414B"/>
    <w:rsid w:val="00F248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414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3414B"/>
    <w:rPr>
      <w:rFonts w:ascii="Tahoma" w:hAnsi="Tahoma"/>
      <w:sz w:val="18"/>
      <w:szCs w:val="18"/>
    </w:rPr>
  </w:style>
  <w:style w:type="paragraph" w:styleId="a4">
    <w:name w:val="footer"/>
    <w:basedOn w:val="a"/>
    <w:link w:val="Char0"/>
    <w:uiPriority w:val="99"/>
    <w:semiHidden/>
    <w:unhideWhenUsed/>
    <w:rsid w:val="00E3414B"/>
    <w:pPr>
      <w:tabs>
        <w:tab w:val="center" w:pos="4153"/>
        <w:tab w:val="right" w:pos="8306"/>
      </w:tabs>
    </w:pPr>
    <w:rPr>
      <w:sz w:val="18"/>
      <w:szCs w:val="18"/>
    </w:rPr>
  </w:style>
  <w:style w:type="character" w:customStyle="1" w:styleId="Char0">
    <w:name w:val="页脚 Char"/>
    <w:basedOn w:val="a0"/>
    <w:link w:val="a4"/>
    <w:uiPriority w:val="99"/>
    <w:semiHidden/>
    <w:rsid w:val="00E3414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48041459">
      <w:bodyDiv w:val="1"/>
      <w:marLeft w:val="0"/>
      <w:marRight w:val="0"/>
      <w:marTop w:val="0"/>
      <w:marBottom w:val="0"/>
      <w:divBdr>
        <w:top w:val="none" w:sz="0" w:space="0" w:color="auto"/>
        <w:left w:val="none" w:sz="0" w:space="0" w:color="auto"/>
        <w:bottom w:val="none" w:sz="0" w:space="0" w:color="auto"/>
        <w:right w:val="none" w:sz="0" w:space="0" w:color="auto"/>
      </w:divBdr>
      <w:divsChild>
        <w:div w:id="380902011">
          <w:marLeft w:val="0"/>
          <w:marRight w:val="0"/>
          <w:marTop w:val="0"/>
          <w:marBottom w:val="0"/>
          <w:divBdr>
            <w:top w:val="none" w:sz="0" w:space="0" w:color="auto"/>
            <w:left w:val="none" w:sz="0" w:space="0" w:color="auto"/>
            <w:bottom w:val="none" w:sz="0" w:space="0" w:color="auto"/>
            <w:right w:val="none" w:sz="0" w:space="0" w:color="auto"/>
          </w:divBdr>
          <w:divsChild>
            <w:div w:id="1541816038">
              <w:marLeft w:val="0"/>
              <w:marRight w:val="0"/>
              <w:marTop w:val="0"/>
              <w:marBottom w:val="0"/>
              <w:divBdr>
                <w:top w:val="none" w:sz="0" w:space="0" w:color="auto"/>
                <w:left w:val="none" w:sz="0" w:space="0" w:color="auto"/>
                <w:bottom w:val="none" w:sz="0" w:space="0" w:color="auto"/>
                <w:right w:val="none" w:sz="0" w:space="0" w:color="auto"/>
              </w:divBdr>
              <w:divsChild>
                <w:div w:id="1082532502">
                  <w:marLeft w:val="0"/>
                  <w:marRight w:val="0"/>
                  <w:marTop w:val="0"/>
                  <w:marBottom w:val="0"/>
                  <w:divBdr>
                    <w:top w:val="none" w:sz="0" w:space="0" w:color="auto"/>
                    <w:left w:val="none" w:sz="0" w:space="0" w:color="auto"/>
                    <w:bottom w:val="none" w:sz="0" w:space="0" w:color="auto"/>
                    <w:right w:val="none" w:sz="0" w:space="0" w:color="auto"/>
                  </w:divBdr>
                  <w:divsChild>
                    <w:div w:id="205485943">
                      <w:marLeft w:val="0"/>
                      <w:marRight w:val="0"/>
                      <w:marTop w:val="0"/>
                      <w:marBottom w:val="0"/>
                      <w:divBdr>
                        <w:top w:val="none" w:sz="0" w:space="0" w:color="auto"/>
                        <w:left w:val="none" w:sz="0" w:space="0" w:color="auto"/>
                        <w:bottom w:val="none" w:sz="0" w:space="0" w:color="auto"/>
                        <w:right w:val="none" w:sz="0" w:space="0" w:color="auto"/>
                      </w:divBdr>
                      <w:divsChild>
                        <w:div w:id="7891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584272">
      <w:bodyDiv w:val="1"/>
      <w:marLeft w:val="0"/>
      <w:marRight w:val="0"/>
      <w:marTop w:val="0"/>
      <w:marBottom w:val="0"/>
      <w:divBdr>
        <w:top w:val="none" w:sz="0" w:space="0" w:color="auto"/>
        <w:left w:val="none" w:sz="0" w:space="0" w:color="auto"/>
        <w:bottom w:val="none" w:sz="0" w:space="0" w:color="auto"/>
        <w:right w:val="none" w:sz="0" w:space="0" w:color="auto"/>
      </w:divBdr>
      <w:divsChild>
        <w:div w:id="579019343">
          <w:marLeft w:val="0"/>
          <w:marRight w:val="0"/>
          <w:marTop w:val="0"/>
          <w:marBottom w:val="0"/>
          <w:divBdr>
            <w:top w:val="none" w:sz="0" w:space="0" w:color="auto"/>
            <w:left w:val="none" w:sz="0" w:space="0" w:color="auto"/>
            <w:bottom w:val="none" w:sz="0" w:space="0" w:color="auto"/>
            <w:right w:val="none" w:sz="0" w:space="0" w:color="auto"/>
          </w:divBdr>
          <w:divsChild>
            <w:div w:id="445926146">
              <w:marLeft w:val="0"/>
              <w:marRight w:val="0"/>
              <w:marTop w:val="0"/>
              <w:marBottom w:val="0"/>
              <w:divBdr>
                <w:top w:val="none" w:sz="0" w:space="0" w:color="auto"/>
                <w:left w:val="none" w:sz="0" w:space="0" w:color="auto"/>
                <w:bottom w:val="none" w:sz="0" w:space="0" w:color="auto"/>
                <w:right w:val="none" w:sz="0" w:space="0" w:color="auto"/>
              </w:divBdr>
              <w:divsChild>
                <w:div w:id="975910746">
                  <w:marLeft w:val="0"/>
                  <w:marRight w:val="0"/>
                  <w:marTop w:val="0"/>
                  <w:marBottom w:val="0"/>
                  <w:divBdr>
                    <w:top w:val="none" w:sz="0" w:space="0" w:color="auto"/>
                    <w:left w:val="none" w:sz="0" w:space="0" w:color="auto"/>
                    <w:bottom w:val="none" w:sz="0" w:space="0" w:color="auto"/>
                    <w:right w:val="none" w:sz="0" w:space="0" w:color="auto"/>
                  </w:divBdr>
                  <w:divsChild>
                    <w:div w:id="1786733129">
                      <w:marLeft w:val="0"/>
                      <w:marRight w:val="0"/>
                      <w:marTop w:val="0"/>
                      <w:marBottom w:val="0"/>
                      <w:divBdr>
                        <w:top w:val="none" w:sz="0" w:space="0" w:color="auto"/>
                        <w:left w:val="none" w:sz="0" w:space="0" w:color="auto"/>
                        <w:bottom w:val="none" w:sz="0" w:space="0" w:color="auto"/>
                        <w:right w:val="none" w:sz="0" w:space="0" w:color="auto"/>
                      </w:divBdr>
                      <w:divsChild>
                        <w:div w:id="12575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未定义</cp:lastModifiedBy>
  <cp:revision>3</cp:revision>
  <dcterms:created xsi:type="dcterms:W3CDTF">2008-09-11T17:20:00Z</dcterms:created>
  <dcterms:modified xsi:type="dcterms:W3CDTF">2020-09-17T08:01:00Z</dcterms:modified>
</cp:coreProperties>
</file>