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8"/>
        <w:gridCol w:w="920"/>
        <w:gridCol w:w="834"/>
        <w:gridCol w:w="717"/>
        <w:gridCol w:w="240"/>
        <w:gridCol w:w="249"/>
        <w:gridCol w:w="429"/>
        <w:gridCol w:w="2344"/>
        <w:gridCol w:w="519"/>
        <w:gridCol w:w="1346"/>
        <w:gridCol w:w="200"/>
      </w:tblGrid>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jc w:val="center"/>
              <w:rPr>
                <w:rFonts w:ascii="宋体" w:eastAsia="宋体" w:hAnsi="宋体" w:cs="宋体"/>
                <w:b/>
                <w:bCs/>
                <w:color w:val="000000"/>
                <w:sz w:val="24"/>
                <w:szCs w:val="24"/>
              </w:rPr>
            </w:pPr>
            <w:r w:rsidRPr="000333DE">
              <w:rPr>
                <w:rFonts w:ascii="宋体" w:eastAsia="宋体" w:hAnsi="宋体" w:cs="宋体" w:hint="eastAsia"/>
                <w:b/>
                <w:bCs/>
                <w:color w:val="000000"/>
                <w:sz w:val="24"/>
                <w:szCs w:val="24"/>
              </w:rPr>
              <w:t>环境科学与工程博士研究生培养方案</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rPr>
            </w:pPr>
            <w:r w:rsidRPr="000333DE">
              <w:rPr>
                <w:rFonts w:ascii="宋体" w:eastAsia="宋体" w:hAnsi="宋体" w:cs="宋体" w:hint="eastAsia"/>
                <w:color w:val="000000"/>
              </w:rPr>
              <w:t>(代码：0830)</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一、学科方向</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1.环境科学[083001] </w:t>
            </w:r>
            <w:r w:rsidRPr="000333DE">
              <w:rPr>
                <w:rFonts w:ascii="宋体" w:eastAsia="宋体" w:hAnsi="宋体" w:cs="宋体" w:hint="eastAsia"/>
                <w:color w:val="000000"/>
                <w:sz w:val="18"/>
                <w:szCs w:val="18"/>
              </w:rPr>
              <w:br/>
              <w:t>2.环境工程[083002]</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二、学科简介及培养目标</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学科简介：暨南大学环境科学与工程一级学科博士点由环境学院、环境与气候研究院、质谱仪器与大气环境研究所、地下水与地球科学研究院四家培养单位组成，在污染物环境行为与健康效应、大气环境与气候变化、污染控制与修复、质谱技术与环境监测等研究领域具有特色和优势。目前，本学科点专任教师共79人，其中正高29人、副高38人，国家杰青4人、千人2人、青千5人、优青4人、中组部青年拔尖1人。学科下设支撑平台7个，其中省重点实验室1个、粤港澳大湾区环境科学联合实验室1个。近5年累计以暨南大学为第一署名单位发表SCI高水平论文270余篇，已授权专利30余项，累计到账科研项目经费2.8亿，其中国家级项目百余项，国家级到账科研项目经费达1.8亿。 </w:t>
            </w:r>
            <w:r w:rsidRPr="000333DE">
              <w:rPr>
                <w:rFonts w:ascii="宋体" w:eastAsia="宋体" w:hAnsi="宋体" w:cs="宋体" w:hint="eastAsia"/>
                <w:color w:val="000000"/>
                <w:sz w:val="18"/>
                <w:szCs w:val="18"/>
              </w:rPr>
              <w:br/>
              <w:t xml:space="preserve">培养目标： </w:t>
            </w:r>
            <w:r w:rsidRPr="000333DE">
              <w:rPr>
                <w:rFonts w:ascii="宋体" w:eastAsia="宋体" w:hAnsi="宋体" w:cs="宋体" w:hint="eastAsia"/>
                <w:color w:val="000000"/>
                <w:sz w:val="18"/>
                <w:szCs w:val="18"/>
              </w:rPr>
              <w:br/>
              <w:t xml:space="preserve">（一）培养掌握坚实的环境科学与工程基础理论和系统深入的专门知识，至少熟练掌握 1 门外国语，具有独立从事科学研究和教学工作的能力，在科学或专门技术上做出创造性成果的高级专门人才； </w:t>
            </w:r>
            <w:r w:rsidRPr="000333DE">
              <w:rPr>
                <w:rFonts w:ascii="宋体" w:eastAsia="宋体" w:hAnsi="宋体" w:cs="宋体" w:hint="eastAsia"/>
                <w:color w:val="000000"/>
                <w:sz w:val="18"/>
                <w:szCs w:val="18"/>
              </w:rPr>
              <w:br/>
              <w:t xml:space="preserve">（二）学生应掌握马克思主义的基本理论，爱国爱校，遵纪守法，品德良好，积极为祖国的现代化建设服务，培养成德智体美劳全面发展的中国特色社会主义建设者和接班人； </w:t>
            </w:r>
            <w:r w:rsidRPr="000333DE">
              <w:rPr>
                <w:rFonts w:ascii="宋体" w:eastAsia="宋体" w:hAnsi="宋体" w:cs="宋体" w:hint="eastAsia"/>
                <w:color w:val="000000"/>
                <w:sz w:val="18"/>
                <w:szCs w:val="18"/>
              </w:rPr>
              <w:br/>
              <w:t>（三）身心健康。</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三、学制和学习年限</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博士生的学制为 3 年。 </w:t>
            </w:r>
            <w:r w:rsidRPr="000333DE">
              <w:rPr>
                <w:rFonts w:ascii="宋体" w:eastAsia="宋体" w:hAnsi="宋体" w:cs="宋体" w:hint="eastAsia"/>
                <w:color w:val="000000"/>
                <w:sz w:val="18"/>
                <w:szCs w:val="18"/>
              </w:rPr>
              <w:br/>
              <w:t xml:space="preserve">博士生的学习年限，根据情况可适当延长，最长不得超过 7年。 </w:t>
            </w:r>
            <w:r w:rsidRPr="000333DE">
              <w:rPr>
                <w:rFonts w:ascii="宋体" w:eastAsia="宋体" w:hAnsi="宋体" w:cs="宋体" w:hint="eastAsia"/>
                <w:color w:val="000000"/>
                <w:sz w:val="18"/>
                <w:szCs w:val="18"/>
              </w:rPr>
              <w:br/>
              <w:t>非定向博士如在学习期间提前完成培养计划，通过学位课程考试和学位论文答辩，各方面表现突出，可申请提前毕业，具体按《暨南大学研究生学籍管理办法》执行。</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四、课程设置及学分要求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最低总学分是11学分,最高总学分是11学分。其中,公共学位课4学分,专业学位课4学分,非学位课最低3学分,最高3学分</w:t>
            </w:r>
          </w:p>
        </w:tc>
        <w:tc>
          <w:tcPr>
            <w:tcW w:w="86" w:type="pct"/>
            <w:tcBorders>
              <w:bottom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52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课程类别</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课程编号</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课程中文名称</w:t>
            </w:r>
            <w:r w:rsidRPr="000333DE">
              <w:rPr>
                <w:rFonts w:ascii="宋体" w:eastAsia="宋体" w:hAnsi="宋体" w:cs="宋体" w:hint="eastAsia"/>
                <w:color w:val="000000"/>
                <w:sz w:val="18"/>
                <w:szCs w:val="18"/>
              </w:rPr>
              <w:br/>
              <w:t>（课程英文名称）</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学分</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学时</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开课学期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开课单位</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考核方式</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学科方向</w:t>
            </w:r>
          </w:p>
        </w:tc>
        <w:tc>
          <w:tcPr>
            <w:tcW w:w="8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备注</w:t>
            </w: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公共学位课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105590da13</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中国马克思主义与当代</w:t>
            </w:r>
            <w:r w:rsidRPr="000333DE">
              <w:rPr>
                <w:rFonts w:ascii="宋体" w:eastAsia="宋体" w:hAnsi="宋体" w:cs="宋体" w:hint="eastAsia"/>
                <w:color w:val="000000"/>
                <w:sz w:val="18"/>
                <w:szCs w:val="18"/>
              </w:rPr>
              <w:br/>
              <w:t>Chinese Marxism and the Contemporary Age</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36</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马克思主义学院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公共学位课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105590da11</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第一外语（英语）</w:t>
            </w:r>
            <w:r w:rsidRPr="000333DE">
              <w:rPr>
                <w:rFonts w:ascii="宋体" w:eastAsia="宋体" w:hAnsi="宋体" w:cs="宋体" w:hint="eastAsia"/>
                <w:color w:val="000000"/>
                <w:sz w:val="18"/>
                <w:szCs w:val="18"/>
              </w:rPr>
              <w:br/>
              <w:t>First Foreign Language(English)</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外国语学院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专业学位课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083000db04</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高等环境水文学</w:t>
            </w:r>
            <w:r w:rsidRPr="000333DE">
              <w:rPr>
                <w:rFonts w:ascii="宋体" w:eastAsia="宋体" w:hAnsi="宋体" w:cs="宋体" w:hint="eastAsia"/>
                <w:color w:val="000000"/>
                <w:sz w:val="18"/>
                <w:szCs w:val="18"/>
              </w:rPr>
              <w:br/>
              <w:t>Advanced Environmental Hydrology</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3</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60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地下水与地球科学研究院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专业学位课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083000db01</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专业写作与项目申报案例分析</w:t>
            </w:r>
            <w:r w:rsidRPr="000333DE">
              <w:rPr>
                <w:rFonts w:ascii="宋体" w:eastAsia="宋体" w:hAnsi="宋体" w:cs="宋体" w:hint="eastAsia"/>
                <w:color w:val="000000"/>
                <w:sz w:val="18"/>
                <w:szCs w:val="18"/>
              </w:rPr>
              <w:br/>
              <w:t>Technical Writing and Project Application</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1</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第2学期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环境学院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专业学位课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083000db02</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环境界面过程</w:t>
            </w:r>
            <w:r w:rsidRPr="000333DE">
              <w:rPr>
                <w:rFonts w:ascii="宋体" w:eastAsia="宋体" w:hAnsi="宋体" w:cs="宋体" w:hint="eastAsia"/>
                <w:color w:val="000000"/>
                <w:sz w:val="18"/>
                <w:szCs w:val="18"/>
              </w:rPr>
              <w:br/>
              <w:t>Inter-compartmental Processes of Environmental Contaminants</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3</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60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环境学院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lastRenderedPageBreak/>
              <w:t>专业学位课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083000db03</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质谱原理与应用</w:t>
            </w:r>
            <w:r w:rsidRPr="000333DE">
              <w:rPr>
                <w:rFonts w:ascii="宋体" w:eastAsia="宋体" w:hAnsi="宋体" w:cs="宋体" w:hint="eastAsia"/>
                <w:color w:val="000000"/>
                <w:sz w:val="18"/>
                <w:szCs w:val="18"/>
              </w:rPr>
              <w:br/>
              <w:t>Mass Spectrometry: rinciples and Applications</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3</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60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质谱仪器与大气环境研究所</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专业学位课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083000db05</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高等大气环境化学</w:t>
            </w:r>
            <w:r w:rsidRPr="000333DE">
              <w:rPr>
                <w:rFonts w:ascii="宋体" w:eastAsia="宋体" w:hAnsi="宋体" w:cs="宋体" w:hint="eastAsia"/>
                <w:color w:val="000000"/>
                <w:sz w:val="18"/>
                <w:szCs w:val="18"/>
              </w:rPr>
              <w:br/>
              <w:t>Advanced Atmospheric Environmental Chemistry</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3</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60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环境与气候研究院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083000dc01</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学术活动与学术报告</w:t>
            </w:r>
            <w:r w:rsidRPr="000333DE">
              <w:rPr>
                <w:rFonts w:ascii="宋体" w:eastAsia="宋体" w:hAnsi="宋体" w:cs="宋体" w:hint="eastAsia"/>
                <w:color w:val="000000"/>
                <w:sz w:val="18"/>
                <w:szCs w:val="18"/>
              </w:rPr>
              <w:br/>
              <w:t>Academic Activities and Reports</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环境学院,环境与气候研究院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考试或考查</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083000dc02</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污染物环境行为与健康效应</w:t>
            </w:r>
            <w:r w:rsidRPr="000333DE">
              <w:rPr>
                <w:rFonts w:ascii="宋体" w:eastAsia="宋体" w:hAnsi="宋体" w:cs="宋体" w:hint="eastAsia"/>
                <w:color w:val="000000"/>
                <w:sz w:val="18"/>
                <w:szCs w:val="18"/>
              </w:rPr>
              <w:br/>
              <w:t>Environmental Behavior and Health Effects of Pollutants</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第2学期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环境学院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考试或考查</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083000dc04</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有机质谱应用</w:t>
            </w:r>
            <w:r w:rsidRPr="000333DE">
              <w:rPr>
                <w:rFonts w:ascii="宋体" w:eastAsia="宋体" w:hAnsi="宋体" w:cs="宋体" w:hint="eastAsia"/>
                <w:color w:val="000000"/>
                <w:sz w:val="18"/>
                <w:szCs w:val="18"/>
              </w:rPr>
              <w:br/>
              <w:t>Applications？of？Organic？Mass？Spectrometry</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质谱仪器与大气环境研究所</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课程论文</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083000dc05</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高等大气物理学</w:t>
            </w:r>
            <w:r w:rsidRPr="000333DE">
              <w:rPr>
                <w:rFonts w:ascii="宋体" w:eastAsia="宋体" w:hAnsi="宋体" w:cs="宋体" w:hint="eastAsia"/>
                <w:color w:val="000000"/>
                <w:sz w:val="18"/>
                <w:szCs w:val="18"/>
              </w:rPr>
              <w:br/>
              <w:t>Advanced Theories in Atmospheric Physics</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环境与气候研究院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083000dc06</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大气气溶胶</w:t>
            </w:r>
            <w:r w:rsidRPr="000333DE">
              <w:rPr>
                <w:rFonts w:ascii="宋体" w:eastAsia="宋体" w:hAnsi="宋体" w:cs="宋体" w:hint="eastAsia"/>
                <w:color w:val="000000"/>
                <w:sz w:val="18"/>
                <w:szCs w:val="18"/>
              </w:rPr>
              <w:br/>
              <w:t>Atmospheric Aerosol</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环境与气候研究院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083000dc03</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地下水污染防治及修复技术</w:t>
            </w:r>
            <w:r w:rsidRPr="000333DE">
              <w:rPr>
                <w:rFonts w:ascii="宋体" w:eastAsia="宋体" w:hAnsi="宋体" w:cs="宋体" w:hint="eastAsia"/>
                <w:color w:val="000000"/>
                <w:sz w:val="18"/>
                <w:szCs w:val="18"/>
              </w:rPr>
              <w:br/>
              <w:t>Prevention and Control Techniques for Groundwater Contamination</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2</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40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地下水与地球科学研究院</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学习报告</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tcBorders>
              <w:top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非学位课</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080300dd01</w:t>
            </w:r>
          </w:p>
        </w:tc>
        <w:tc>
          <w:tcPr>
            <w:tcW w:w="95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学科前沿讲座</w:t>
            </w:r>
            <w:r w:rsidRPr="000333DE">
              <w:rPr>
                <w:rFonts w:ascii="宋体" w:eastAsia="宋体" w:hAnsi="宋体" w:cs="宋体" w:hint="eastAsia"/>
                <w:color w:val="000000"/>
                <w:sz w:val="18"/>
                <w:szCs w:val="18"/>
              </w:rPr>
              <w:br/>
              <w:t>Lectures on Frontier Discipline</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1</w:t>
            </w:r>
          </w:p>
        </w:tc>
        <w:tc>
          <w:tcPr>
            <w:tcW w:w="16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50</w:t>
            </w:r>
          </w:p>
        </w:tc>
        <w:tc>
          <w:tcPr>
            <w:tcW w:w="26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第1学期</w:t>
            </w:r>
          </w:p>
        </w:tc>
        <w:tc>
          <w:tcPr>
            <w:tcW w:w="1422"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环境学院,环境与气候研究院,质谱仪器与大气环境研究所</w:t>
            </w:r>
          </w:p>
        </w:tc>
        <w:tc>
          <w:tcPr>
            <w:tcW w:w="32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考试或考查</w:t>
            </w:r>
          </w:p>
        </w:tc>
        <w:tc>
          <w:tcPr>
            <w:tcW w:w="82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33DE" w:rsidRPr="000333DE" w:rsidRDefault="000333DE" w:rsidP="000333DE">
            <w:pPr>
              <w:adjustRightInd/>
              <w:snapToGrid/>
              <w:spacing w:after="0"/>
              <w:jc w:val="center"/>
              <w:rPr>
                <w:rFonts w:ascii="宋体" w:eastAsia="宋体" w:hAnsi="宋体" w:cs="宋体"/>
                <w:color w:val="000000"/>
                <w:sz w:val="18"/>
                <w:szCs w:val="18"/>
              </w:rPr>
            </w:pPr>
            <w:r w:rsidRPr="000333DE">
              <w:rPr>
                <w:rFonts w:ascii="宋体" w:eastAsia="宋体" w:hAnsi="宋体" w:cs="宋体" w:hint="eastAsia"/>
                <w:color w:val="000000"/>
                <w:sz w:val="18"/>
                <w:szCs w:val="18"/>
              </w:rPr>
              <w:t>环境科学与工程[083000],</w:t>
            </w:r>
          </w:p>
        </w:tc>
        <w:tc>
          <w:tcPr>
            <w:tcW w:w="86" w:type="pct"/>
            <w:tcBorders>
              <w:top w:val="single" w:sz="8" w:space="0" w:color="000000"/>
              <w:left w:val="single" w:sz="8" w:space="0" w:color="000000"/>
              <w:bottom w:val="single" w:sz="8" w:space="0" w:color="000000"/>
              <w:right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vAlign w:val="center"/>
            <w:hideMark/>
          </w:tcPr>
          <w:p w:rsidR="000333DE" w:rsidRPr="000333DE" w:rsidRDefault="000333DE" w:rsidP="000333DE">
            <w:pPr>
              <w:adjustRightInd/>
              <w:snapToGrid/>
              <w:spacing w:after="0"/>
              <w:rPr>
                <w:rFonts w:ascii="宋体" w:eastAsia="宋体" w:hAnsi="宋体" w:cs="宋体"/>
                <w:sz w:val="24"/>
                <w:szCs w:val="24"/>
              </w:rPr>
            </w:pPr>
          </w:p>
        </w:tc>
        <w:tc>
          <w:tcPr>
            <w:tcW w:w="492"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51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439"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6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6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269"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422"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323"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2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6"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r>
      <w:tr w:rsidR="000333DE" w:rsidRPr="000333DE" w:rsidTr="000333DE">
        <w:trPr>
          <w:trHeight w:val="300"/>
        </w:trPr>
        <w:tc>
          <w:tcPr>
            <w:tcW w:w="317" w:type="pct"/>
            <w:vAlign w:val="center"/>
            <w:hideMark/>
          </w:tcPr>
          <w:p w:rsidR="000333DE" w:rsidRPr="000333DE" w:rsidRDefault="000333DE" w:rsidP="000333DE">
            <w:pPr>
              <w:adjustRightInd/>
              <w:snapToGrid/>
              <w:spacing w:after="0"/>
              <w:rPr>
                <w:rFonts w:ascii="宋体" w:eastAsia="宋体" w:hAnsi="宋体" w:cs="宋体"/>
                <w:sz w:val="24"/>
                <w:szCs w:val="24"/>
              </w:rPr>
            </w:pPr>
          </w:p>
        </w:tc>
        <w:tc>
          <w:tcPr>
            <w:tcW w:w="492"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51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439"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6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6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269"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1422"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323"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2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6"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r>
      <w:tr w:rsidR="000333DE" w:rsidRPr="000333DE" w:rsidTr="000333DE">
        <w:trPr>
          <w:trHeight w:val="300"/>
        </w:trPr>
        <w:tc>
          <w:tcPr>
            <w:tcW w:w="317"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tcBorders>
              <w:top w:val="single" w:sz="8" w:space="0" w:color="000000"/>
            </w:tcBorders>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tcBorders>
              <w:top w:val="single" w:sz="8" w:space="0" w:color="000000"/>
            </w:tcBorders>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课程说明</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1.学科前沿讲座为必修课 </w:t>
            </w:r>
            <w:r w:rsidRPr="000333DE">
              <w:rPr>
                <w:rFonts w:ascii="宋体" w:eastAsia="宋体" w:hAnsi="宋体" w:cs="宋体" w:hint="eastAsia"/>
                <w:color w:val="000000"/>
                <w:sz w:val="18"/>
                <w:szCs w:val="18"/>
              </w:rPr>
              <w:br/>
              <w:t>2.</w:t>
            </w:r>
            <w:r w:rsidR="00EC5021" w:rsidRPr="000333DE">
              <w:rPr>
                <w:rFonts w:ascii="宋体" w:eastAsia="宋体" w:hAnsi="宋体" w:cs="宋体" w:hint="eastAsia"/>
                <w:color w:val="000000"/>
                <w:sz w:val="18"/>
                <w:szCs w:val="18"/>
              </w:rPr>
              <w:t>学术活动与学术报告</w:t>
            </w:r>
            <w:r w:rsidRPr="000333DE">
              <w:rPr>
                <w:rFonts w:ascii="宋体" w:eastAsia="宋体" w:hAnsi="宋体" w:cs="宋体" w:hint="eastAsia"/>
                <w:color w:val="000000"/>
                <w:sz w:val="18"/>
                <w:szCs w:val="18"/>
              </w:rPr>
              <w:t>：参加国内或国际学术会议并作研究生分会场以上报告4次及以上</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五、培养方式与方法</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（一）博士生的培养，应以科学研究工作为主，重点培养博士生独立从事科学研究工作的能力和创新能力； </w:t>
            </w:r>
            <w:r w:rsidRPr="000333DE">
              <w:rPr>
                <w:rFonts w:ascii="宋体" w:eastAsia="宋体" w:hAnsi="宋体" w:cs="宋体" w:hint="eastAsia"/>
                <w:color w:val="000000"/>
                <w:sz w:val="18"/>
                <w:szCs w:val="18"/>
              </w:rPr>
              <w:br/>
              <w:t xml:space="preserve">（二）博士生的培养工作采取导师负责制，以导师指导和博士点导师小组指导相结合的方式，充分发挥导师和研究生两方面的积极性，师生合作，教学相长； </w:t>
            </w:r>
            <w:r w:rsidRPr="000333DE">
              <w:rPr>
                <w:rFonts w:ascii="宋体" w:eastAsia="宋体" w:hAnsi="宋体" w:cs="宋体" w:hint="eastAsia"/>
                <w:color w:val="000000"/>
                <w:sz w:val="18"/>
                <w:szCs w:val="18"/>
              </w:rPr>
              <w:br/>
              <w:t>（三）博士生的个人培养计划由博士生导师主持制订并签字。博士生进校后，导师与博士生之间应就培</w:t>
            </w:r>
            <w:r w:rsidRPr="000333DE">
              <w:rPr>
                <w:rFonts w:ascii="宋体" w:eastAsia="宋体" w:hAnsi="宋体" w:cs="宋体" w:hint="eastAsia"/>
                <w:color w:val="000000"/>
                <w:sz w:val="18"/>
                <w:szCs w:val="18"/>
              </w:rPr>
              <w:lastRenderedPageBreak/>
              <w:t xml:space="preserve">养中的各项问题充分交换意见，并在本专业范围内征求其他教师的意见，在此基础上制订出合乎要求的、切实可行的培养计划； </w:t>
            </w:r>
            <w:r w:rsidRPr="000333DE">
              <w:rPr>
                <w:rFonts w:ascii="宋体" w:eastAsia="宋体" w:hAnsi="宋体" w:cs="宋体" w:hint="eastAsia"/>
                <w:color w:val="000000"/>
                <w:sz w:val="18"/>
                <w:szCs w:val="18"/>
              </w:rPr>
              <w:br/>
              <w:t>培养计划须于博士生进校后 2 个月内制订好，并录入研究生教育综合管理系统中，经导师确认后，由博士生所在院(所、中心)批准备案。培养计划一经确定不得随意变动。</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六、考核方式</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博士学位课程考试的成绩一律按百分制记分；学位课程成绩不低于 70 分为合格，可获得学分。非学位课程成绩 60 分为及格，即可获得学分。博士生必须修满所规定学分，通过开题报告后，方能进行学位论文撰写。 </w:t>
            </w:r>
            <w:r w:rsidRPr="000333DE">
              <w:rPr>
                <w:rFonts w:ascii="宋体" w:eastAsia="宋体" w:hAnsi="宋体" w:cs="宋体" w:hint="eastAsia"/>
                <w:color w:val="000000"/>
                <w:sz w:val="18"/>
                <w:szCs w:val="18"/>
              </w:rPr>
              <w:br/>
              <w:t>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七、实践环节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鼓励在导师指导下从事助教活动，助教内容包括指导本科生、硕士生的实验、课程研讨和毕业论文等，指导教师负责指导及检查。</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八、开题报告</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bottom"/>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博士生入学后的第 1 学期，应在导师指导下拟定研究方向和论文题目。通过查阅资料或调查研究，最迟于第 3 学期初完成学位论文开题报告，开题前应成立开题报告评审小组，评审小组由五名教授组成。 </w:t>
            </w:r>
            <w:r w:rsidRPr="000333DE">
              <w:rPr>
                <w:rFonts w:ascii="宋体" w:eastAsia="宋体" w:hAnsi="宋体" w:cs="宋体" w:hint="eastAsia"/>
                <w:color w:val="000000"/>
                <w:sz w:val="18"/>
                <w:szCs w:val="18"/>
              </w:rPr>
              <w:br/>
              <w:t xml:space="preserve">开题报告应就选题依据、国内外发展动态、研究内容、预期目标、研究方案等做出科学论证，并在博士点进行开题报告，听取意见并进行必要的修改和调整，并在研究生教育综合管理系统完成开题报告。对于选题不合适、方法不得当、措施无法落实的开题报告，不准进入学位论文撰写阶段。 </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九、科研进展报告</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 </w:t>
            </w:r>
            <w:r w:rsidRPr="000333DE">
              <w:rPr>
                <w:rFonts w:ascii="宋体" w:eastAsia="宋体" w:hAnsi="宋体" w:cs="宋体" w:hint="eastAsia"/>
                <w:color w:val="000000"/>
                <w:sz w:val="18"/>
                <w:szCs w:val="18"/>
              </w:rPr>
              <w:br/>
              <w:t>博士生在正式论文答辩之前必须通过预答辩环节，预答辩相关规定参照《暨南大学博士学位论文预答辩管理办法》。</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十、学位论文</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博士学位论文的水平是衡量博士生培养质量的主要标志，也是授予学位的依据之一。学校要求博士生写出高水平、高质量的博士论文。 </w:t>
            </w:r>
            <w:r w:rsidRPr="000333DE">
              <w:rPr>
                <w:rFonts w:ascii="宋体" w:eastAsia="宋体" w:hAnsi="宋体" w:cs="宋体" w:hint="eastAsia"/>
                <w:color w:val="000000"/>
                <w:sz w:val="18"/>
                <w:szCs w:val="18"/>
              </w:rPr>
              <w:br/>
              <w:t xml:space="preserve">博士生论文工作的时间应不少于 2 年。博士学位论文应在导师指导下，由博士生本人独立完成。学位论文要在科学理论或专门技术上有一定的创造性，对社会发展或经济建设具有重要的理论意义和实用价值。 </w:t>
            </w:r>
            <w:r w:rsidRPr="000333DE">
              <w:rPr>
                <w:rFonts w:ascii="宋体" w:eastAsia="宋体" w:hAnsi="宋体" w:cs="宋体" w:hint="eastAsia"/>
                <w:color w:val="000000"/>
                <w:sz w:val="18"/>
                <w:szCs w:val="18"/>
              </w:rPr>
              <w:br/>
              <w:t xml:space="preserve">博士学位论文应阐明所研究领域已有的成果和自己的创新性研究结果。要求立论正确、层次分明、文字精练、数据可靠、分析准确。 </w:t>
            </w:r>
            <w:r w:rsidRPr="000333DE">
              <w:rPr>
                <w:rFonts w:ascii="宋体" w:eastAsia="宋体" w:hAnsi="宋体" w:cs="宋体" w:hint="eastAsia"/>
                <w:color w:val="000000"/>
                <w:sz w:val="18"/>
                <w:szCs w:val="18"/>
              </w:rPr>
              <w:br/>
              <w:t xml:space="preserve">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 </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十一、在学期间科研成果要求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满足学位评定工学分委员会（简称“工学分委会”）对环境科学与工程一级学科的科研成果要求。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十二、必读书目</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 xml:space="preserve">1．珠江三角洲环境有机物概论. 曾永平 等著，科学出版社，2020. </w:t>
            </w:r>
            <w:r w:rsidRPr="000333DE">
              <w:rPr>
                <w:rFonts w:ascii="宋体" w:eastAsia="宋体" w:hAnsi="宋体" w:cs="宋体" w:hint="eastAsia"/>
                <w:color w:val="000000"/>
                <w:sz w:val="18"/>
                <w:szCs w:val="18"/>
              </w:rPr>
              <w:br/>
              <w:t xml:space="preserve">2. Microplastic Contamination in Aquatic Environments. Eddy Y. Zeng, Amsterdam: Elsevier, 2018. </w:t>
            </w:r>
            <w:r w:rsidRPr="000333DE">
              <w:rPr>
                <w:rFonts w:ascii="宋体" w:eastAsia="宋体" w:hAnsi="宋体" w:cs="宋体" w:hint="eastAsia"/>
                <w:color w:val="000000"/>
                <w:sz w:val="18"/>
                <w:szCs w:val="18"/>
              </w:rPr>
              <w:br/>
              <w:t xml:space="preserve">3. Atmospheric Chemistry and Physics. Seinfeld J H. Atmospheric chemistry and physics of air pollution. New York: Wiley, 2002. </w:t>
            </w:r>
            <w:r w:rsidRPr="000333DE">
              <w:rPr>
                <w:rFonts w:ascii="宋体" w:eastAsia="宋体" w:hAnsi="宋体" w:cs="宋体" w:hint="eastAsia"/>
                <w:color w:val="000000"/>
                <w:sz w:val="18"/>
                <w:szCs w:val="18"/>
              </w:rPr>
              <w:br/>
              <w:t xml:space="preserve">4. Aerosol Measurement: Principles, Techniques, and Applications, Third Edition Editor(s): </w:t>
            </w:r>
            <w:r w:rsidRPr="000333DE">
              <w:rPr>
                <w:rFonts w:ascii="宋体" w:eastAsia="宋体" w:hAnsi="宋体" w:cs="宋体" w:hint="eastAsia"/>
                <w:color w:val="000000"/>
                <w:sz w:val="18"/>
                <w:szCs w:val="18"/>
              </w:rPr>
              <w:lastRenderedPageBreak/>
              <w:t xml:space="preserve">Pramod Kulkarni Paul A. Baron Klaus Willeke First published:27 June 2011 John Wiley &amp; Sons, Inc. </w:t>
            </w:r>
            <w:r w:rsidRPr="000333DE">
              <w:rPr>
                <w:rFonts w:ascii="宋体" w:eastAsia="宋体" w:hAnsi="宋体" w:cs="宋体" w:hint="eastAsia"/>
                <w:color w:val="000000"/>
                <w:sz w:val="18"/>
                <w:szCs w:val="18"/>
              </w:rPr>
              <w:br/>
              <w:t xml:space="preserve">5. Mass Spectrometry: Principles and Applications (3rd ed.) De Hoffmann E.; Stroobant V. John Wiley &amp; Sons 2007. </w:t>
            </w:r>
            <w:r w:rsidRPr="000333DE">
              <w:rPr>
                <w:rFonts w:ascii="宋体" w:eastAsia="宋体" w:hAnsi="宋体" w:cs="宋体" w:hint="eastAsia"/>
                <w:color w:val="000000"/>
                <w:sz w:val="18"/>
                <w:szCs w:val="18"/>
              </w:rPr>
              <w:br/>
              <w:t xml:space="preserve">6.《质谱分析技术原理与应用》，台湾质谱学会编著，科学出版社 2018. </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十三、其他要求</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4914" w:type="pct"/>
            <w:gridSpan w:val="10"/>
            <w:shd w:val="clear" w:color="auto" w:fill="FFFFFF"/>
            <w:vAlign w:val="center"/>
            <w:hideMark/>
          </w:tcPr>
          <w:p w:rsidR="000333DE" w:rsidRPr="000333DE" w:rsidRDefault="000333DE" w:rsidP="000333DE">
            <w:pPr>
              <w:adjustRightInd/>
              <w:snapToGrid/>
              <w:spacing w:after="0"/>
              <w:rPr>
                <w:rFonts w:ascii="宋体" w:eastAsia="宋体" w:hAnsi="宋体" w:cs="宋体"/>
                <w:color w:val="000000"/>
                <w:sz w:val="18"/>
                <w:szCs w:val="18"/>
              </w:rPr>
            </w:pPr>
            <w:r w:rsidRPr="000333DE">
              <w:rPr>
                <w:rFonts w:ascii="宋体" w:eastAsia="宋体" w:hAnsi="宋体" w:cs="宋体" w:hint="eastAsia"/>
                <w:color w:val="000000"/>
                <w:sz w:val="18"/>
                <w:szCs w:val="18"/>
              </w:rPr>
              <w:t>无</w:t>
            </w: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26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42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851" w:type="pct"/>
            <w:gridSpan w:val="3"/>
            <w:shd w:val="clear" w:color="auto" w:fill="FFFFFF"/>
            <w:vAlign w:val="center"/>
            <w:hideMark/>
          </w:tcPr>
          <w:p w:rsidR="000333DE" w:rsidRPr="000333DE" w:rsidRDefault="000333DE" w:rsidP="000333DE">
            <w:pPr>
              <w:adjustRightInd/>
              <w:snapToGrid/>
              <w:spacing w:after="0"/>
              <w:jc w:val="right"/>
              <w:rPr>
                <w:rFonts w:ascii="宋体" w:eastAsia="宋体" w:hAnsi="宋体" w:cs="宋体"/>
                <w:color w:val="000000"/>
                <w:sz w:val="18"/>
                <w:szCs w:val="18"/>
              </w:rPr>
            </w:pPr>
            <w:r w:rsidRPr="000333DE">
              <w:rPr>
                <w:rFonts w:ascii="宋体" w:eastAsia="宋体" w:hAnsi="宋体" w:cs="宋体" w:hint="eastAsia"/>
                <w:color w:val="000000"/>
                <w:sz w:val="18"/>
                <w:szCs w:val="18"/>
              </w:rPr>
              <w:t>学科组组长（签名）：</w:t>
            </w:r>
          </w:p>
        </w:tc>
        <w:tc>
          <w:tcPr>
            <w:tcW w:w="323"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2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86"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r>
      <w:tr w:rsidR="000333DE" w:rsidRPr="000333DE" w:rsidTr="000333DE">
        <w:trPr>
          <w:trHeight w:val="300"/>
        </w:trPr>
        <w:tc>
          <w:tcPr>
            <w:tcW w:w="317"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92"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51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439"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61" w:type="pct"/>
            <w:shd w:val="clear" w:color="auto" w:fill="FFFFFF"/>
            <w:hideMark/>
          </w:tcPr>
          <w:p w:rsidR="000333DE" w:rsidRPr="000333DE" w:rsidRDefault="000333DE" w:rsidP="000333DE">
            <w:pPr>
              <w:adjustRightInd/>
              <w:snapToGrid/>
              <w:spacing w:after="0"/>
              <w:rPr>
                <w:rFonts w:ascii="宋体" w:eastAsia="宋体" w:hAnsi="宋体" w:cs="宋体"/>
                <w:color w:val="000000"/>
                <w:sz w:val="18"/>
                <w:szCs w:val="18"/>
              </w:rPr>
            </w:pPr>
          </w:p>
        </w:tc>
        <w:tc>
          <w:tcPr>
            <w:tcW w:w="1851" w:type="pct"/>
            <w:gridSpan w:val="3"/>
            <w:shd w:val="clear" w:color="auto" w:fill="FFFFFF"/>
            <w:vAlign w:val="center"/>
            <w:hideMark/>
          </w:tcPr>
          <w:p w:rsidR="000333DE" w:rsidRPr="000333DE" w:rsidRDefault="000333DE" w:rsidP="000333DE">
            <w:pPr>
              <w:adjustRightInd/>
              <w:snapToGrid/>
              <w:spacing w:after="0"/>
              <w:jc w:val="right"/>
              <w:rPr>
                <w:rFonts w:ascii="宋体" w:eastAsia="宋体" w:hAnsi="宋体" w:cs="宋体"/>
                <w:color w:val="000000"/>
                <w:sz w:val="18"/>
                <w:szCs w:val="18"/>
              </w:rPr>
            </w:pPr>
            <w:r w:rsidRPr="000333DE">
              <w:rPr>
                <w:rFonts w:ascii="宋体" w:eastAsia="宋体" w:hAnsi="宋体" w:cs="宋体" w:hint="eastAsia"/>
                <w:color w:val="000000"/>
                <w:sz w:val="18"/>
                <w:szCs w:val="18"/>
              </w:rPr>
              <w:t>学位评定委员会分委会主席（签名）：</w:t>
            </w:r>
          </w:p>
        </w:tc>
        <w:tc>
          <w:tcPr>
            <w:tcW w:w="323"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21"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c>
          <w:tcPr>
            <w:tcW w:w="86" w:type="pct"/>
            <w:vAlign w:val="center"/>
            <w:hideMark/>
          </w:tcPr>
          <w:p w:rsidR="000333DE" w:rsidRPr="000333DE" w:rsidRDefault="000333DE" w:rsidP="000333DE">
            <w:pPr>
              <w:adjustRightInd/>
              <w:snapToGrid/>
              <w:spacing w:after="0"/>
              <w:rPr>
                <w:rFonts w:ascii="Times New Roman" w:eastAsia="Times New Roman" w:hAnsi="Times New Roman" w:cs="Times New Roman"/>
                <w:sz w:val="20"/>
                <w:szCs w:val="20"/>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A7" w:rsidRDefault="00F372A7" w:rsidP="000333DE">
      <w:pPr>
        <w:spacing w:after="0"/>
      </w:pPr>
      <w:r>
        <w:separator/>
      </w:r>
    </w:p>
  </w:endnote>
  <w:endnote w:type="continuationSeparator" w:id="0">
    <w:p w:rsidR="00F372A7" w:rsidRDefault="00F372A7" w:rsidP="000333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A7" w:rsidRDefault="00F372A7" w:rsidP="000333DE">
      <w:pPr>
        <w:spacing w:after="0"/>
      </w:pPr>
      <w:r>
        <w:separator/>
      </w:r>
    </w:p>
  </w:footnote>
  <w:footnote w:type="continuationSeparator" w:id="0">
    <w:p w:rsidR="00F372A7" w:rsidRDefault="00F372A7" w:rsidP="000333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333DE"/>
    <w:rsid w:val="00170C46"/>
    <w:rsid w:val="00276ADB"/>
    <w:rsid w:val="00323B43"/>
    <w:rsid w:val="003D37D8"/>
    <w:rsid w:val="00426133"/>
    <w:rsid w:val="004358AB"/>
    <w:rsid w:val="004837A6"/>
    <w:rsid w:val="006831BC"/>
    <w:rsid w:val="008B7726"/>
    <w:rsid w:val="008F54CB"/>
    <w:rsid w:val="009A60FF"/>
    <w:rsid w:val="00B6772E"/>
    <w:rsid w:val="00D31D50"/>
    <w:rsid w:val="00EC130D"/>
    <w:rsid w:val="00EC5021"/>
    <w:rsid w:val="00F372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33D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333DE"/>
    <w:rPr>
      <w:rFonts w:ascii="Tahoma" w:hAnsi="Tahoma"/>
      <w:sz w:val="18"/>
      <w:szCs w:val="18"/>
    </w:rPr>
  </w:style>
  <w:style w:type="paragraph" w:styleId="a4">
    <w:name w:val="footer"/>
    <w:basedOn w:val="a"/>
    <w:link w:val="Char0"/>
    <w:uiPriority w:val="99"/>
    <w:semiHidden/>
    <w:unhideWhenUsed/>
    <w:rsid w:val="000333DE"/>
    <w:pPr>
      <w:tabs>
        <w:tab w:val="center" w:pos="4153"/>
        <w:tab w:val="right" w:pos="8306"/>
      </w:tabs>
    </w:pPr>
    <w:rPr>
      <w:sz w:val="18"/>
      <w:szCs w:val="18"/>
    </w:rPr>
  </w:style>
  <w:style w:type="character" w:customStyle="1" w:styleId="Char0">
    <w:name w:val="页脚 Char"/>
    <w:basedOn w:val="a0"/>
    <w:link w:val="a4"/>
    <w:uiPriority w:val="99"/>
    <w:semiHidden/>
    <w:rsid w:val="000333D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5026087">
      <w:bodyDiv w:val="1"/>
      <w:marLeft w:val="0"/>
      <w:marRight w:val="0"/>
      <w:marTop w:val="0"/>
      <w:marBottom w:val="0"/>
      <w:divBdr>
        <w:top w:val="none" w:sz="0" w:space="0" w:color="auto"/>
        <w:left w:val="none" w:sz="0" w:space="0" w:color="auto"/>
        <w:bottom w:val="none" w:sz="0" w:space="0" w:color="auto"/>
        <w:right w:val="none" w:sz="0" w:space="0" w:color="auto"/>
      </w:divBdr>
      <w:divsChild>
        <w:div w:id="498230863">
          <w:marLeft w:val="0"/>
          <w:marRight w:val="0"/>
          <w:marTop w:val="0"/>
          <w:marBottom w:val="0"/>
          <w:divBdr>
            <w:top w:val="none" w:sz="0" w:space="0" w:color="auto"/>
            <w:left w:val="none" w:sz="0" w:space="0" w:color="auto"/>
            <w:bottom w:val="none" w:sz="0" w:space="0" w:color="auto"/>
            <w:right w:val="none" w:sz="0" w:space="0" w:color="auto"/>
          </w:divBdr>
          <w:divsChild>
            <w:div w:id="803694326">
              <w:marLeft w:val="0"/>
              <w:marRight w:val="0"/>
              <w:marTop w:val="0"/>
              <w:marBottom w:val="0"/>
              <w:divBdr>
                <w:top w:val="none" w:sz="0" w:space="0" w:color="auto"/>
                <w:left w:val="none" w:sz="0" w:space="0" w:color="auto"/>
                <w:bottom w:val="none" w:sz="0" w:space="0" w:color="auto"/>
                <w:right w:val="none" w:sz="0" w:space="0" w:color="auto"/>
              </w:divBdr>
              <w:divsChild>
                <w:div w:id="958878180">
                  <w:marLeft w:val="0"/>
                  <w:marRight w:val="0"/>
                  <w:marTop w:val="0"/>
                  <w:marBottom w:val="0"/>
                  <w:divBdr>
                    <w:top w:val="none" w:sz="0" w:space="0" w:color="auto"/>
                    <w:left w:val="none" w:sz="0" w:space="0" w:color="auto"/>
                    <w:bottom w:val="none" w:sz="0" w:space="0" w:color="auto"/>
                    <w:right w:val="none" w:sz="0" w:space="0" w:color="auto"/>
                  </w:divBdr>
                  <w:divsChild>
                    <w:div w:id="1506549140">
                      <w:marLeft w:val="0"/>
                      <w:marRight w:val="0"/>
                      <w:marTop w:val="0"/>
                      <w:marBottom w:val="0"/>
                      <w:divBdr>
                        <w:top w:val="none" w:sz="0" w:space="0" w:color="auto"/>
                        <w:left w:val="none" w:sz="0" w:space="0" w:color="auto"/>
                        <w:bottom w:val="none" w:sz="0" w:space="0" w:color="auto"/>
                        <w:right w:val="none" w:sz="0" w:space="0" w:color="auto"/>
                      </w:divBdr>
                      <w:divsChild>
                        <w:div w:id="20748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49955">
      <w:bodyDiv w:val="1"/>
      <w:marLeft w:val="0"/>
      <w:marRight w:val="0"/>
      <w:marTop w:val="0"/>
      <w:marBottom w:val="0"/>
      <w:divBdr>
        <w:top w:val="none" w:sz="0" w:space="0" w:color="auto"/>
        <w:left w:val="none" w:sz="0" w:space="0" w:color="auto"/>
        <w:bottom w:val="none" w:sz="0" w:space="0" w:color="auto"/>
        <w:right w:val="none" w:sz="0" w:space="0" w:color="auto"/>
      </w:divBdr>
      <w:divsChild>
        <w:div w:id="1237858038">
          <w:marLeft w:val="0"/>
          <w:marRight w:val="0"/>
          <w:marTop w:val="0"/>
          <w:marBottom w:val="0"/>
          <w:divBdr>
            <w:top w:val="none" w:sz="0" w:space="0" w:color="auto"/>
            <w:left w:val="none" w:sz="0" w:space="0" w:color="auto"/>
            <w:bottom w:val="none" w:sz="0" w:space="0" w:color="auto"/>
            <w:right w:val="none" w:sz="0" w:space="0" w:color="auto"/>
          </w:divBdr>
          <w:divsChild>
            <w:div w:id="783504155">
              <w:marLeft w:val="0"/>
              <w:marRight w:val="0"/>
              <w:marTop w:val="0"/>
              <w:marBottom w:val="0"/>
              <w:divBdr>
                <w:top w:val="none" w:sz="0" w:space="0" w:color="auto"/>
                <w:left w:val="none" w:sz="0" w:space="0" w:color="auto"/>
                <w:bottom w:val="none" w:sz="0" w:space="0" w:color="auto"/>
                <w:right w:val="none" w:sz="0" w:space="0" w:color="auto"/>
              </w:divBdr>
              <w:divsChild>
                <w:div w:id="99031416">
                  <w:marLeft w:val="0"/>
                  <w:marRight w:val="0"/>
                  <w:marTop w:val="0"/>
                  <w:marBottom w:val="0"/>
                  <w:divBdr>
                    <w:top w:val="none" w:sz="0" w:space="0" w:color="auto"/>
                    <w:left w:val="none" w:sz="0" w:space="0" w:color="auto"/>
                    <w:bottom w:val="none" w:sz="0" w:space="0" w:color="auto"/>
                    <w:right w:val="none" w:sz="0" w:space="0" w:color="auto"/>
                  </w:divBdr>
                  <w:divsChild>
                    <w:div w:id="1158879694">
                      <w:marLeft w:val="0"/>
                      <w:marRight w:val="0"/>
                      <w:marTop w:val="0"/>
                      <w:marBottom w:val="0"/>
                      <w:divBdr>
                        <w:top w:val="none" w:sz="0" w:space="0" w:color="auto"/>
                        <w:left w:val="none" w:sz="0" w:space="0" w:color="auto"/>
                        <w:bottom w:val="none" w:sz="0" w:space="0" w:color="auto"/>
                        <w:right w:val="none" w:sz="0" w:space="0" w:color="auto"/>
                      </w:divBdr>
                      <w:divsChild>
                        <w:div w:id="1782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未定义</cp:lastModifiedBy>
  <cp:revision>7</cp:revision>
  <cp:lastPrinted>2020-09-24T07:32:00Z</cp:lastPrinted>
  <dcterms:created xsi:type="dcterms:W3CDTF">2008-09-11T17:20:00Z</dcterms:created>
  <dcterms:modified xsi:type="dcterms:W3CDTF">2020-09-24T07:35:00Z</dcterms:modified>
</cp:coreProperties>
</file>